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6F5" w14:textId="77777777" w:rsidR="009A54F1" w:rsidRPr="004A240B" w:rsidRDefault="009A54F1" w:rsidP="00B70A01">
      <w:pPr>
        <w:pStyle w:val="Estilo"/>
        <w:ind w:left="5103"/>
        <w:rPr>
          <w:rFonts w:ascii="Arial Nova Light" w:hAnsi="Arial Nova Light"/>
          <w:b/>
          <w:bCs/>
          <w:szCs w:val="24"/>
        </w:rPr>
      </w:pPr>
      <w:r w:rsidRPr="004A240B">
        <w:rPr>
          <w:rFonts w:ascii="Arial Nova Light" w:hAnsi="Arial Nova Light"/>
          <w:b/>
          <w:bCs/>
          <w:szCs w:val="24"/>
        </w:rPr>
        <w:t xml:space="preserve">JUICIO PARA LA PROTECCIÓN DE LOS DERECHOS POLÍTICO-ELECTORALES DEL CIUDADANO. </w:t>
      </w:r>
    </w:p>
    <w:p w14:paraId="5AEEB207" w14:textId="77777777" w:rsidR="009A54F1" w:rsidRPr="004A240B" w:rsidRDefault="009A54F1" w:rsidP="00B70A01">
      <w:pPr>
        <w:pStyle w:val="Estilo"/>
        <w:ind w:left="5103"/>
        <w:rPr>
          <w:rFonts w:ascii="Arial Nova Light" w:hAnsi="Arial Nova Light"/>
          <w:szCs w:val="24"/>
        </w:rPr>
      </w:pPr>
    </w:p>
    <w:p w14:paraId="1230AC42" w14:textId="3FDBBAF1" w:rsidR="009A54F1" w:rsidRPr="004A240B" w:rsidRDefault="009A54F1" w:rsidP="00B70A01">
      <w:pPr>
        <w:pStyle w:val="Estilo"/>
        <w:ind w:left="5103"/>
        <w:rPr>
          <w:rFonts w:ascii="Arial Nova Light" w:hAnsi="Arial Nova Light"/>
          <w:szCs w:val="24"/>
        </w:rPr>
      </w:pPr>
      <w:r w:rsidRPr="004A240B">
        <w:rPr>
          <w:rFonts w:ascii="Arial Nova Light" w:hAnsi="Arial Nova Light"/>
          <w:b/>
          <w:bCs/>
          <w:szCs w:val="24"/>
        </w:rPr>
        <w:t>EXPEDIENTE</w:t>
      </w:r>
      <w:r w:rsidRPr="004A240B">
        <w:rPr>
          <w:rFonts w:ascii="Arial Nova Light" w:hAnsi="Arial Nova Light"/>
          <w:szCs w:val="24"/>
        </w:rPr>
        <w:t>: TEEA-JDC-</w:t>
      </w:r>
      <w:r w:rsidR="00044CF6" w:rsidRPr="004A240B">
        <w:rPr>
          <w:rFonts w:ascii="Arial Nova Light" w:hAnsi="Arial Nova Light"/>
          <w:szCs w:val="24"/>
        </w:rPr>
        <w:t>117</w:t>
      </w:r>
      <w:r w:rsidRPr="004A240B">
        <w:rPr>
          <w:rFonts w:ascii="Arial Nova Light" w:hAnsi="Arial Nova Light"/>
          <w:szCs w:val="24"/>
        </w:rPr>
        <w:t>/2021</w:t>
      </w:r>
      <w:r w:rsidR="00177275">
        <w:rPr>
          <w:rFonts w:ascii="Arial Nova Light" w:hAnsi="Arial Nova Light"/>
          <w:szCs w:val="24"/>
        </w:rPr>
        <w:t xml:space="preserve">. </w:t>
      </w:r>
    </w:p>
    <w:p w14:paraId="704D2129" w14:textId="77777777" w:rsidR="009A54F1" w:rsidRPr="004A240B" w:rsidRDefault="009A54F1" w:rsidP="00B70A01">
      <w:pPr>
        <w:pStyle w:val="Estilo"/>
        <w:ind w:left="5103"/>
        <w:rPr>
          <w:rFonts w:ascii="Arial Nova Light" w:hAnsi="Arial Nova Light"/>
          <w:szCs w:val="24"/>
        </w:rPr>
      </w:pPr>
    </w:p>
    <w:p w14:paraId="59FE2325" w14:textId="12750142" w:rsidR="009A54F1" w:rsidRPr="004A240B" w:rsidRDefault="009A54F1" w:rsidP="00B70A01">
      <w:pPr>
        <w:pStyle w:val="Estilo"/>
        <w:ind w:left="5103"/>
        <w:rPr>
          <w:rFonts w:ascii="Arial Nova Light" w:hAnsi="Arial Nova Light"/>
          <w:szCs w:val="24"/>
        </w:rPr>
      </w:pPr>
      <w:r w:rsidRPr="004A240B">
        <w:rPr>
          <w:rFonts w:ascii="Arial Nova Light" w:hAnsi="Arial Nova Light"/>
          <w:b/>
          <w:bCs/>
          <w:szCs w:val="24"/>
        </w:rPr>
        <w:t>PROMOVENTE</w:t>
      </w:r>
      <w:r w:rsidRPr="004A240B">
        <w:rPr>
          <w:rFonts w:ascii="Arial Nova Light" w:hAnsi="Arial Nova Light"/>
          <w:szCs w:val="24"/>
        </w:rPr>
        <w:t xml:space="preserve">: </w:t>
      </w:r>
      <w:r w:rsidR="00044CF6" w:rsidRPr="004A240B">
        <w:rPr>
          <w:rFonts w:ascii="Arial Nova Light" w:hAnsi="Arial Nova Light"/>
          <w:szCs w:val="24"/>
        </w:rPr>
        <w:t xml:space="preserve">PRISCILA ZACARÍAS FRANCO </w:t>
      </w:r>
      <w:r w:rsidR="00336881" w:rsidRPr="004A240B">
        <w:rPr>
          <w:rFonts w:ascii="Arial Nova Light" w:hAnsi="Arial Nova Light"/>
          <w:szCs w:val="24"/>
        </w:rPr>
        <w:t xml:space="preserve">Y OTROS. </w:t>
      </w:r>
    </w:p>
    <w:p w14:paraId="05972906" w14:textId="77777777" w:rsidR="009A54F1" w:rsidRPr="004A240B" w:rsidRDefault="009A54F1" w:rsidP="00B70A01">
      <w:pPr>
        <w:pStyle w:val="Estilo"/>
        <w:ind w:left="5103"/>
        <w:rPr>
          <w:rFonts w:ascii="Arial Nova Light" w:hAnsi="Arial Nova Light"/>
          <w:szCs w:val="24"/>
        </w:rPr>
      </w:pPr>
    </w:p>
    <w:p w14:paraId="130D71D9" w14:textId="0285CFE3" w:rsidR="009A54F1" w:rsidRPr="004A240B" w:rsidRDefault="009A54F1" w:rsidP="00B70A01">
      <w:pPr>
        <w:pStyle w:val="Estilo"/>
        <w:ind w:left="5103"/>
        <w:rPr>
          <w:rFonts w:ascii="Arial Nova Light" w:hAnsi="Arial Nova Light"/>
          <w:szCs w:val="24"/>
        </w:rPr>
      </w:pPr>
      <w:r w:rsidRPr="004A240B">
        <w:rPr>
          <w:rFonts w:ascii="Arial Nova Light" w:hAnsi="Arial Nova Light"/>
          <w:b/>
          <w:bCs/>
          <w:szCs w:val="24"/>
        </w:rPr>
        <w:t>AUTORIDAD RESPONSABLE</w:t>
      </w:r>
      <w:r w:rsidRPr="004A240B">
        <w:rPr>
          <w:rFonts w:ascii="Arial Nova Light" w:hAnsi="Arial Nova Light"/>
          <w:szCs w:val="24"/>
        </w:rPr>
        <w:t xml:space="preserve">: </w:t>
      </w:r>
      <w:r w:rsidR="007C6360" w:rsidRPr="004A240B">
        <w:rPr>
          <w:rFonts w:ascii="Arial Nova Light" w:hAnsi="Arial Nova Light"/>
          <w:bCs/>
          <w:szCs w:val="24"/>
        </w:rPr>
        <w:t xml:space="preserve">COMISIÓN NACIONAL DE HONESTIDAD Y JUSTICIA. </w:t>
      </w:r>
    </w:p>
    <w:p w14:paraId="05D53AD2" w14:textId="77777777" w:rsidR="009A54F1" w:rsidRPr="004A240B" w:rsidRDefault="009A54F1" w:rsidP="00B70A01">
      <w:pPr>
        <w:pStyle w:val="Estilo"/>
        <w:ind w:left="5103"/>
        <w:rPr>
          <w:rFonts w:ascii="Arial Nova Light" w:hAnsi="Arial Nova Light"/>
          <w:szCs w:val="24"/>
        </w:rPr>
      </w:pPr>
    </w:p>
    <w:p w14:paraId="603E4B7A" w14:textId="166D45E7" w:rsidR="009A54F1" w:rsidRPr="004A240B" w:rsidRDefault="009A54F1" w:rsidP="00B70A01">
      <w:pPr>
        <w:pStyle w:val="Estilo"/>
        <w:ind w:left="5103"/>
        <w:rPr>
          <w:rFonts w:ascii="Arial Nova Light" w:hAnsi="Arial Nova Light"/>
          <w:bCs/>
          <w:szCs w:val="24"/>
        </w:rPr>
      </w:pPr>
      <w:r w:rsidRPr="004A240B">
        <w:rPr>
          <w:rFonts w:ascii="Arial Nova Light" w:hAnsi="Arial Nova Light"/>
          <w:b/>
          <w:bCs/>
          <w:szCs w:val="24"/>
        </w:rPr>
        <w:t>MAGISTRADA PONENTE:</w:t>
      </w:r>
      <w:r w:rsidRPr="004A240B">
        <w:rPr>
          <w:rFonts w:ascii="Arial Nova Light" w:hAnsi="Arial Nova Light"/>
          <w:szCs w:val="24"/>
        </w:rPr>
        <w:t xml:space="preserve"> </w:t>
      </w:r>
      <w:r w:rsidRPr="004A240B">
        <w:rPr>
          <w:rFonts w:ascii="Arial Nova Light" w:hAnsi="Arial Nova Light"/>
          <w:bCs/>
          <w:szCs w:val="24"/>
        </w:rPr>
        <w:t>CLAUDIA ELOISA DÍAZ DE LEÓN GONZÁLEZ</w:t>
      </w:r>
      <w:r w:rsidR="00EF68F1" w:rsidRPr="004A240B">
        <w:rPr>
          <w:rFonts w:ascii="Arial Nova Light" w:hAnsi="Arial Nova Light"/>
          <w:bCs/>
          <w:szCs w:val="24"/>
        </w:rPr>
        <w:t>.</w:t>
      </w:r>
    </w:p>
    <w:p w14:paraId="791F77D0" w14:textId="77777777" w:rsidR="00EF68F1" w:rsidRPr="004A240B" w:rsidRDefault="00EF68F1" w:rsidP="00B70A01">
      <w:pPr>
        <w:pStyle w:val="Estilo"/>
        <w:ind w:left="5103"/>
        <w:rPr>
          <w:rFonts w:ascii="Arial Nova Light" w:hAnsi="Arial Nova Light"/>
          <w:bCs/>
          <w:szCs w:val="24"/>
        </w:rPr>
      </w:pPr>
    </w:p>
    <w:p w14:paraId="4B4239F4" w14:textId="618FF69D" w:rsidR="008718B5" w:rsidRPr="004A240B" w:rsidRDefault="008718B5" w:rsidP="00B70A01">
      <w:pPr>
        <w:pStyle w:val="Estilo"/>
        <w:ind w:left="5103"/>
        <w:rPr>
          <w:rFonts w:ascii="Arial Nova Light" w:hAnsi="Arial Nova Light"/>
          <w:szCs w:val="24"/>
        </w:rPr>
      </w:pPr>
      <w:r w:rsidRPr="004A240B">
        <w:rPr>
          <w:rFonts w:ascii="Arial Nova Light" w:hAnsi="Arial Nova Light"/>
          <w:b/>
          <w:bCs/>
          <w:szCs w:val="24"/>
        </w:rPr>
        <w:t>SECRETARIO DE ESTUDIO</w:t>
      </w:r>
      <w:r w:rsidR="005B066E" w:rsidRPr="004A240B">
        <w:rPr>
          <w:rStyle w:val="Refdenotaalpie"/>
          <w:rFonts w:ascii="Arial Nova Light" w:hAnsi="Arial Nova Light"/>
          <w:b/>
          <w:bCs/>
          <w:szCs w:val="24"/>
        </w:rPr>
        <w:footnoteReference w:id="1"/>
      </w:r>
      <w:r w:rsidRPr="004A240B">
        <w:rPr>
          <w:rFonts w:ascii="Arial Nova Light" w:hAnsi="Arial Nova Light"/>
          <w:b/>
          <w:bCs/>
          <w:szCs w:val="24"/>
        </w:rPr>
        <w:t>:</w:t>
      </w:r>
      <w:r w:rsidRPr="004A240B">
        <w:rPr>
          <w:rFonts w:ascii="Arial Nova Light" w:hAnsi="Arial Nova Light"/>
          <w:szCs w:val="24"/>
        </w:rPr>
        <w:t xml:space="preserve"> NÉSTOR ENRIQUE RIVERA LÓPEZ</w:t>
      </w:r>
      <w:r w:rsidR="00EF68F1" w:rsidRPr="004A240B">
        <w:rPr>
          <w:rFonts w:ascii="Arial Nova Light" w:hAnsi="Arial Nova Light"/>
          <w:szCs w:val="24"/>
        </w:rPr>
        <w:t>.</w:t>
      </w:r>
    </w:p>
    <w:p w14:paraId="003193D8" w14:textId="77777777" w:rsidR="00EF68F1" w:rsidRPr="004A240B" w:rsidRDefault="00EF68F1" w:rsidP="009E717D">
      <w:pPr>
        <w:pStyle w:val="Estilo"/>
        <w:ind w:left="4536"/>
        <w:rPr>
          <w:rFonts w:ascii="Arial Nova Light" w:hAnsi="Arial Nova Light"/>
          <w:szCs w:val="24"/>
        </w:rPr>
      </w:pPr>
    </w:p>
    <w:p w14:paraId="17DE71C2" w14:textId="7DE7B4C2" w:rsidR="009A54F1" w:rsidRPr="004A240B" w:rsidRDefault="009A54F1" w:rsidP="009A54F1">
      <w:pPr>
        <w:pStyle w:val="Estilo"/>
        <w:spacing w:line="360" w:lineRule="auto"/>
        <w:jc w:val="right"/>
        <w:rPr>
          <w:rFonts w:ascii="Arial Nova Light" w:hAnsi="Arial Nova Light"/>
          <w:szCs w:val="24"/>
        </w:rPr>
      </w:pPr>
      <w:bookmarkStart w:id="0" w:name="_Hlk499556789"/>
      <w:r w:rsidRPr="004A240B">
        <w:rPr>
          <w:rFonts w:ascii="Arial Nova Light" w:hAnsi="Arial Nova Light"/>
          <w:szCs w:val="24"/>
        </w:rPr>
        <w:t xml:space="preserve">Aguascalientes, Aguascalientes, a </w:t>
      </w:r>
      <w:r w:rsidR="000B55CB">
        <w:rPr>
          <w:rFonts w:ascii="Arial Nova Light" w:hAnsi="Arial Nova Light"/>
          <w:szCs w:val="24"/>
        </w:rPr>
        <w:t>once</w:t>
      </w:r>
      <w:r w:rsidRPr="004A240B">
        <w:rPr>
          <w:rFonts w:ascii="Arial Nova Light" w:hAnsi="Arial Nova Light"/>
          <w:szCs w:val="24"/>
        </w:rPr>
        <w:t xml:space="preserve"> de </w:t>
      </w:r>
      <w:r w:rsidR="000B55CB">
        <w:rPr>
          <w:rFonts w:ascii="Arial Nova Light" w:hAnsi="Arial Nova Light"/>
          <w:szCs w:val="24"/>
        </w:rPr>
        <w:t>mayo</w:t>
      </w:r>
      <w:r w:rsidRPr="004A240B">
        <w:rPr>
          <w:rFonts w:ascii="Arial Nova Light" w:hAnsi="Arial Nova Light"/>
          <w:szCs w:val="24"/>
        </w:rPr>
        <w:t xml:space="preserve"> de dos mil veintiuno.</w:t>
      </w:r>
    </w:p>
    <w:p w14:paraId="4BBEE589" w14:textId="77777777" w:rsidR="009A54F1" w:rsidRPr="004A240B" w:rsidRDefault="009A54F1" w:rsidP="009A54F1">
      <w:pPr>
        <w:pStyle w:val="Estilo"/>
        <w:spacing w:line="360" w:lineRule="auto"/>
        <w:rPr>
          <w:rFonts w:ascii="Arial Nova Light" w:hAnsi="Arial Nova Light"/>
          <w:szCs w:val="24"/>
        </w:rPr>
      </w:pPr>
    </w:p>
    <w:p w14:paraId="5803F459" w14:textId="7B580BEA" w:rsidR="001E18DD" w:rsidRPr="004A240B" w:rsidRDefault="009A54F1" w:rsidP="001E18DD">
      <w:pPr>
        <w:pStyle w:val="NormalWeb"/>
        <w:spacing w:before="0" w:beforeAutospacing="0" w:after="0" w:afterAutospacing="0" w:line="360" w:lineRule="auto"/>
        <w:contextualSpacing/>
        <w:mirrorIndents/>
        <w:jc w:val="both"/>
        <w:rPr>
          <w:rFonts w:ascii="Arial Nova Light" w:hAnsi="Arial Nova Light" w:cs="Arial"/>
        </w:rPr>
      </w:pPr>
      <w:r w:rsidRPr="004A240B">
        <w:rPr>
          <w:rFonts w:ascii="Arial Nova Light" w:hAnsi="Arial Nova Light"/>
          <w:b/>
        </w:rPr>
        <w:t xml:space="preserve">Sentencia definitiva </w:t>
      </w:r>
      <w:r w:rsidR="001E18DD" w:rsidRPr="004A240B">
        <w:rPr>
          <w:rFonts w:ascii="Arial Nova Light" w:hAnsi="Arial Nova Light" w:cs="Arial"/>
          <w:bCs/>
        </w:rPr>
        <w:t xml:space="preserve">que desecha por </w:t>
      </w:r>
      <w:r w:rsidR="001E18DD" w:rsidRPr="004A240B">
        <w:rPr>
          <w:rFonts w:ascii="Arial Nova Light" w:hAnsi="Arial Nova Light" w:cs="Arial"/>
          <w:b/>
        </w:rPr>
        <w:t>extemporánea</w:t>
      </w:r>
      <w:r w:rsidR="001E18DD" w:rsidRPr="004A240B">
        <w:rPr>
          <w:rFonts w:ascii="Arial Nova Light" w:hAnsi="Arial Nova Light" w:cs="Arial"/>
          <w:bCs/>
        </w:rPr>
        <w:t xml:space="preserve"> la demanda del Juicio para la Protección de los Derechos Político-Electorales del Ciudadano presentad</w:t>
      </w:r>
      <w:r w:rsidR="00D402FB" w:rsidRPr="004A240B">
        <w:rPr>
          <w:rFonts w:ascii="Arial Nova Light" w:hAnsi="Arial Nova Light" w:cs="Arial"/>
          <w:bCs/>
        </w:rPr>
        <w:t>a por diversos ciudadanos y una ciudadana</w:t>
      </w:r>
      <w:r w:rsidR="001E18DD" w:rsidRPr="004A240B">
        <w:rPr>
          <w:rFonts w:ascii="Arial Nova Light" w:hAnsi="Arial Nova Light" w:cs="Arial"/>
          <w:bCs/>
        </w:rPr>
        <w:t xml:space="preserve"> para controvertir </w:t>
      </w:r>
      <w:r w:rsidR="00E275F9" w:rsidRPr="004A240B">
        <w:rPr>
          <w:rFonts w:ascii="Arial Nova Light" w:hAnsi="Arial Nova Light" w:cs="Arial"/>
          <w:bCs/>
        </w:rPr>
        <w:t xml:space="preserve">la resolución CNHJ-AGS-643/2021 </w:t>
      </w:r>
      <w:r w:rsidR="001E18DD" w:rsidRPr="004A240B">
        <w:rPr>
          <w:rFonts w:ascii="Arial Nova Light" w:hAnsi="Arial Nova Light" w:cs="Arial"/>
          <w:bCs/>
        </w:rPr>
        <w:t>de la Comisión Nacional de Honestidad y Justicia</w:t>
      </w:r>
      <w:r w:rsidR="006960F2" w:rsidRPr="004A240B">
        <w:rPr>
          <w:rFonts w:ascii="Arial Nova Light" w:hAnsi="Arial Nova Light" w:cs="Arial"/>
          <w:bCs/>
        </w:rPr>
        <w:t xml:space="preserve"> de MORENA</w:t>
      </w:r>
      <w:r w:rsidR="001E18DD" w:rsidRPr="004A240B">
        <w:rPr>
          <w:rFonts w:ascii="Arial Nova Light" w:hAnsi="Arial Nova Light" w:cs="Arial"/>
          <w:bCs/>
        </w:rPr>
        <w:t xml:space="preserve"> dictada en cumplimiento a la sentencia del Tribunal Electoral del Estado de Aguascalientes</w:t>
      </w:r>
      <w:r w:rsidR="00E275F9" w:rsidRPr="004A240B">
        <w:rPr>
          <w:rFonts w:ascii="Arial Nova Light" w:hAnsi="Arial Nova Light" w:cs="Arial"/>
          <w:bCs/>
        </w:rPr>
        <w:t xml:space="preserve"> TEEA-JDC-</w:t>
      </w:r>
      <w:r w:rsidR="006960F2" w:rsidRPr="004A240B">
        <w:rPr>
          <w:rFonts w:ascii="Arial Nova Light" w:hAnsi="Arial Nova Light" w:cs="Arial"/>
          <w:bCs/>
        </w:rPr>
        <w:t>092/2021 y acumulados</w:t>
      </w:r>
      <w:r w:rsidR="001E18DD" w:rsidRPr="004A240B">
        <w:rPr>
          <w:rFonts w:ascii="Arial Nova Light" w:hAnsi="Arial Nova Light" w:cs="Arial"/>
          <w:bCs/>
        </w:rPr>
        <w:t>.</w:t>
      </w:r>
      <w:r w:rsidR="001E18DD" w:rsidRPr="004A240B">
        <w:rPr>
          <w:rFonts w:ascii="Arial Nova Light" w:hAnsi="Arial Nova Light" w:cs="Arial"/>
        </w:rPr>
        <w:t xml:space="preserve"> </w:t>
      </w:r>
    </w:p>
    <w:p w14:paraId="66BFACBA" w14:textId="2AC1DA77" w:rsidR="009A54F1" w:rsidRPr="004A240B" w:rsidRDefault="009A54F1" w:rsidP="001E18DD">
      <w:pPr>
        <w:pStyle w:val="Estilo"/>
        <w:spacing w:line="360" w:lineRule="auto"/>
        <w:jc w:val="center"/>
        <w:rPr>
          <w:rFonts w:ascii="Arial Nova Light" w:hAnsi="Arial Nova Light"/>
          <w:b/>
          <w:bCs/>
          <w:szCs w:val="24"/>
        </w:rPr>
      </w:pPr>
      <w:r w:rsidRPr="004A240B">
        <w:rPr>
          <w:rFonts w:ascii="Arial Nova Light" w:hAnsi="Arial Nova Light"/>
          <w:b/>
          <w:bCs/>
          <w:szCs w:val="24"/>
        </w:rPr>
        <w:t>GLOSARIO</w:t>
      </w:r>
    </w:p>
    <w:tbl>
      <w:tblPr>
        <w:tblW w:w="7513" w:type="dxa"/>
        <w:jc w:val="center"/>
        <w:tblLayout w:type="fixed"/>
        <w:tblLook w:val="0400" w:firstRow="0" w:lastRow="0" w:firstColumn="0" w:lastColumn="0" w:noHBand="0" w:noVBand="1"/>
      </w:tblPr>
      <w:tblGrid>
        <w:gridCol w:w="2405"/>
        <w:gridCol w:w="5108"/>
      </w:tblGrid>
      <w:tr w:rsidR="009A54F1" w:rsidRPr="00D11443" w14:paraId="65065894" w14:textId="77777777" w:rsidTr="00CC4367">
        <w:trPr>
          <w:jc w:val="center"/>
        </w:trPr>
        <w:tc>
          <w:tcPr>
            <w:tcW w:w="2405" w:type="dxa"/>
          </w:tcPr>
          <w:p w14:paraId="62523748" w14:textId="4A7A3C9F" w:rsidR="009A54F1" w:rsidRPr="00D11443" w:rsidRDefault="009A54F1" w:rsidP="00B70A01">
            <w:pPr>
              <w:pStyle w:val="Estilo"/>
              <w:jc w:val="right"/>
              <w:rPr>
                <w:rFonts w:ascii="Arial Nova Light" w:eastAsia="Arial Nova" w:hAnsi="Arial Nova Light"/>
                <w:b/>
                <w:bCs/>
                <w:sz w:val="16"/>
                <w:szCs w:val="16"/>
              </w:rPr>
            </w:pPr>
            <w:r w:rsidRPr="00D11443">
              <w:rPr>
                <w:rFonts w:ascii="Arial Nova Light" w:eastAsia="Arial Nova" w:hAnsi="Arial Nova Light"/>
                <w:b/>
                <w:bCs/>
                <w:sz w:val="16"/>
                <w:szCs w:val="16"/>
              </w:rPr>
              <w:t>Actor</w:t>
            </w:r>
            <w:r w:rsidR="00947C96" w:rsidRPr="00D11443">
              <w:rPr>
                <w:rFonts w:ascii="Arial Nova Light" w:eastAsia="Arial Nova" w:hAnsi="Arial Nova Light"/>
                <w:b/>
                <w:bCs/>
                <w:sz w:val="16"/>
                <w:szCs w:val="16"/>
              </w:rPr>
              <w:t>es</w:t>
            </w:r>
            <w:r w:rsidR="008B7E86" w:rsidRPr="00D11443">
              <w:rPr>
                <w:rFonts w:ascii="Arial Nova Light" w:eastAsia="Arial Nova" w:hAnsi="Arial Nova Light"/>
                <w:b/>
                <w:bCs/>
                <w:sz w:val="16"/>
                <w:szCs w:val="16"/>
              </w:rPr>
              <w:t xml:space="preserve"> o promoventes</w:t>
            </w:r>
            <w:r w:rsidRPr="00D11443">
              <w:rPr>
                <w:rFonts w:ascii="Arial Nova Light" w:eastAsia="Arial Nova" w:hAnsi="Arial Nova Light"/>
                <w:b/>
                <w:bCs/>
                <w:sz w:val="16"/>
                <w:szCs w:val="16"/>
              </w:rPr>
              <w:t>:</w:t>
            </w:r>
          </w:p>
        </w:tc>
        <w:tc>
          <w:tcPr>
            <w:tcW w:w="5108" w:type="dxa"/>
          </w:tcPr>
          <w:p w14:paraId="071FAB96" w14:textId="4EDEFFB0" w:rsidR="009A54F1" w:rsidRPr="00D11443" w:rsidRDefault="006960F2" w:rsidP="00B70A01">
            <w:pPr>
              <w:pStyle w:val="Estilo"/>
              <w:rPr>
                <w:rFonts w:ascii="Arial Nova Light" w:eastAsia="Arial Nova" w:hAnsi="Arial Nova Light"/>
                <w:bCs/>
                <w:sz w:val="16"/>
                <w:szCs w:val="16"/>
              </w:rPr>
            </w:pPr>
            <w:r w:rsidRPr="00D11443">
              <w:rPr>
                <w:rFonts w:ascii="Arial Nova Light" w:hAnsi="Arial Nova Light"/>
                <w:bCs/>
                <w:sz w:val="16"/>
                <w:szCs w:val="16"/>
              </w:rPr>
              <w:t xml:space="preserve">Priscila </w:t>
            </w:r>
            <w:r w:rsidR="0042206B" w:rsidRPr="00D11443">
              <w:rPr>
                <w:rFonts w:ascii="Arial Nova Light" w:hAnsi="Arial Nova Light"/>
                <w:bCs/>
                <w:sz w:val="16"/>
                <w:szCs w:val="16"/>
              </w:rPr>
              <w:t>Zacarías Franco</w:t>
            </w:r>
            <w:r w:rsidR="00D84D5D" w:rsidRPr="00D11443">
              <w:rPr>
                <w:rFonts w:ascii="Arial Nova Light" w:hAnsi="Arial Nova Light"/>
                <w:bCs/>
                <w:sz w:val="16"/>
                <w:szCs w:val="16"/>
              </w:rPr>
              <w:t xml:space="preserve">; Natanael Montoya Reyes; </w:t>
            </w:r>
            <w:proofErr w:type="spellStart"/>
            <w:r w:rsidR="00D84D5D" w:rsidRPr="00D11443">
              <w:rPr>
                <w:rFonts w:ascii="Arial Nova Light" w:hAnsi="Arial Nova Light"/>
                <w:bCs/>
                <w:sz w:val="16"/>
                <w:szCs w:val="16"/>
              </w:rPr>
              <w:t>Yullotli</w:t>
            </w:r>
            <w:proofErr w:type="spellEnd"/>
            <w:r w:rsidR="00D84D5D" w:rsidRPr="00D11443">
              <w:rPr>
                <w:rFonts w:ascii="Arial Nova Light" w:hAnsi="Arial Nova Light"/>
                <w:bCs/>
                <w:sz w:val="16"/>
                <w:szCs w:val="16"/>
              </w:rPr>
              <w:t xml:space="preserve"> Yyulic Carmona Luiz; Gorky Ulianov Bañuelos Rayas; </w:t>
            </w:r>
            <w:r w:rsidR="006971D4" w:rsidRPr="00D11443">
              <w:rPr>
                <w:rFonts w:ascii="Arial Nova Light" w:hAnsi="Arial Nova Light"/>
                <w:bCs/>
                <w:sz w:val="16"/>
                <w:szCs w:val="16"/>
              </w:rPr>
              <w:t>Miguel</w:t>
            </w:r>
            <w:r w:rsidR="00D84D5D" w:rsidRPr="00D11443">
              <w:rPr>
                <w:rFonts w:ascii="Arial Nova Light" w:hAnsi="Arial Nova Light"/>
                <w:bCs/>
                <w:sz w:val="16"/>
                <w:szCs w:val="16"/>
              </w:rPr>
              <w:t xml:space="preserve"> Romero </w:t>
            </w:r>
            <w:r w:rsidR="006971D4" w:rsidRPr="00D11443">
              <w:rPr>
                <w:rFonts w:ascii="Arial Nova Light" w:hAnsi="Arial Nova Light"/>
                <w:bCs/>
                <w:sz w:val="16"/>
                <w:szCs w:val="16"/>
              </w:rPr>
              <w:t>Rodríguez; y Manuel de Jesús Bañuelos Hernández</w:t>
            </w:r>
            <w:r w:rsidR="00311E42" w:rsidRPr="00D11443">
              <w:rPr>
                <w:rFonts w:ascii="Arial Nova Light" w:hAnsi="Arial Nova Light"/>
                <w:bCs/>
                <w:sz w:val="16"/>
                <w:szCs w:val="16"/>
              </w:rPr>
              <w:t xml:space="preserve">. </w:t>
            </w:r>
            <w:r w:rsidR="006B1C16" w:rsidRPr="00D11443">
              <w:rPr>
                <w:rFonts w:ascii="Arial Nova Light" w:hAnsi="Arial Nova Light"/>
                <w:bCs/>
                <w:sz w:val="16"/>
                <w:szCs w:val="16"/>
              </w:rPr>
              <w:t xml:space="preserve"> </w:t>
            </w:r>
          </w:p>
        </w:tc>
      </w:tr>
      <w:tr w:rsidR="009A54F1" w:rsidRPr="00D11443" w14:paraId="7512F3E4" w14:textId="77777777" w:rsidTr="00CC4367">
        <w:trPr>
          <w:jc w:val="center"/>
        </w:trPr>
        <w:tc>
          <w:tcPr>
            <w:tcW w:w="2405" w:type="dxa"/>
          </w:tcPr>
          <w:p w14:paraId="3BB2CFD6" w14:textId="77777777" w:rsidR="009A54F1" w:rsidRPr="00D11443" w:rsidRDefault="009A54F1" w:rsidP="00B70A01">
            <w:pPr>
              <w:pStyle w:val="Estilo"/>
              <w:jc w:val="right"/>
              <w:rPr>
                <w:rFonts w:ascii="Arial Nova Light" w:eastAsia="Arial Nova" w:hAnsi="Arial Nova Light"/>
                <w:b/>
                <w:bCs/>
                <w:sz w:val="16"/>
                <w:szCs w:val="16"/>
              </w:rPr>
            </w:pPr>
            <w:r w:rsidRPr="00D11443">
              <w:rPr>
                <w:rFonts w:ascii="Arial Nova Light" w:eastAsia="Arial Nova" w:hAnsi="Arial Nova Light"/>
                <w:b/>
                <w:bCs/>
                <w:sz w:val="16"/>
                <w:szCs w:val="16"/>
              </w:rPr>
              <w:t xml:space="preserve">Tribunal: </w:t>
            </w:r>
          </w:p>
        </w:tc>
        <w:tc>
          <w:tcPr>
            <w:tcW w:w="5108" w:type="dxa"/>
          </w:tcPr>
          <w:p w14:paraId="55DC075A" w14:textId="77777777" w:rsidR="009A54F1" w:rsidRPr="00D11443" w:rsidRDefault="009A54F1" w:rsidP="00B70A01">
            <w:pPr>
              <w:pStyle w:val="Estilo"/>
              <w:rPr>
                <w:rFonts w:ascii="Arial Nova Light" w:eastAsia="Arial Nova" w:hAnsi="Arial Nova Light"/>
                <w:bCs/>
                <w:sz w:val="16"/>
                <w:szCs w:val="16"/>
              </w:rPr>
            </w:pPr>
            <w:r w:rsidRPr="00D11443">
              <w:rPr>
                <w:rFonts w:ascii="Arial Nova Light" w:eastAsia="Arial Nova" w:hAnsi="Arial Nova Light"/>
                <w:bCs/>
                <w:sz w:val="16"/>
                <w:szCs w:val="16"/>
              </w:rPr>
              <w:t xml:space="preserve">Tribunal Electoral del Estado de Aguascalientes. </w:t>
            </w:r>
          </w:p>
        </w:tc>
      </w:tr>
      <w:tr w:rsidR="00480CFC" w:rsidRPr="00D11443" w14:paraId="57B54CE6" w14:textId="77777777" w:rsidTr="00B70A01">
        <w:trPr>
          <w:trHeight w:val="279"/>
          <w:jc w:val="center"/>
        </w:trPr>
        <w:tc>
          <w:tcPr>
            <w:tcW w:w="2405" w:type="dxa"/>
          </w:tcPr>
          <w:p w14:paraId="732356C1" w14:textId="3D485E6C" w:rsidR="00480CFC" w:rsidRPr="00D11443" w:rsidRDefault="009B7119" w:rsidP="00B70A01">
            <w:pPr>
              <w:pStyle w:val="Estilo"/>
              <w:jc w:val="right"/>
              <w:rPr>
                <w:rFonts w:ascii="Arial Nova Light" w:eastAsia="Arial Nova" w:hAnsi="Arial Nova Light"/>
                <w:b/>
                <w:bCs/>
                <w:sz w:val="16"/>
                <w:szCs w:val="16"/>
              </w:rPr>
            </w:pPr>
            <w:r w:rsidRPr="00D11443">
              <w:rPr>
                <w:rFonts w:ascii="Arial Nova Light" w:hAnsi="Arial Nova Light" w:cs="Arial"/>
                <w:b/>
                <w:bCs/>
                <w:sz w:val="16"/>
                <w:szCs w:val="16"/>
                <w:lang w:eastAsia="es-MX"/>
              </w:rPr>
              <w:t>CNHJ</w:t>
            </w:r>
            <w:r w:rsidR="00480CFC" w:rsidRPr="00D11443">
              <w:rPr>
                <w:rFonts w:ascii="Arial Nova Light" w:hAnsi="Arial Nova Light" w:cs="Arial"/>
                <w:b/>
                <w:bCs/>
                <w:sz w:val="16"/>
                <w:szCs w:val="16"/>
                <w:lang w:eastAsia="es-MX"/>
              </w:rPr>
              <w:t>:</w:t>
            </w:r>
          </w:p>
        </w:tc>
        <w:tc>
          <w:tcPr>
            <w:tcW w:w="5108" w:type="dxa"/>
          </w:tcPr>
          <w:p w14:paraId="2DC41DBB" w14:textId="71750DDD" w:rsidR="00480CFC" w:rsidRPr="00D11443" w:rsidRDefault="009B7119" w:rsidP="00B70A01">
            <w:pPr>
              <w:tabs>
                <w:tab w:val="left" w:pos="284"/>
                <w:tab w:val="left" w:pos="9214"/>
              </w:tabs>
              <w:spacing w:line="240" w:lineRule="auto"/>
              <w:ind w:right="49"/>
              <w:jc w:val="both"/>
              <w:rPr>
                <w:rFonts w:ascii="Arial Nova Light" w:hAnsi="Arial Nova Light" w:cs="Arial"/>
                <w:bCs/>
                <w:sz w:val="16"/>
                <w:szCs w:val="16"/>
              </w:rPr>
            </w:pPr>
            <w:r w:rsidRPr="00D11443">
              <w:rPr>
                <w:rFonts w:ascii="Arial Nova Light" w:hAnsi="Arial Nova Light" w:cs="Arial"/>
                <w:bCs/>
                <w:sz w:val="16"/>
                <w:szCs w:val="16"/>
              </w:rPr>
              <w:t>Comisión Nacional de Honestidad y Justicia de MORENA</w:t>
            </w:r>
          </w:p>
        </w:tc>
      </w:tr>
      <w:tr w:rsidR="00480CFC" w:rsidRPr="00D11443" w14:paraId="7E61EA1F" w14:textId="77777777" w:rsidTr="00CC4367">
        <w:trPr>
          <w:jc w:val="center"/>
        </w:trPr>
        <w:tc>
          <w:tcPr>
            <w:tcW w:w="2405" w:type="dxa"/>
          </w:tcPr>
          <w:p w14:paraId="229D8D15" w14:textId="32A1C834" w:rsidR="00480CFC" w:rsidRPr="00D11443" w:rsidRDefault="00480CFC" w:rsidP="00B70A01">
            <w:pPr>
              <w:tabs>
                <w:tab w:val="left" w:pos="284"/>
                <w:tab w:val="left" w:pos="9214"/>
              </w:tabs>
              <w:spacing w:line="240" w:lineRule="auto"/>
              <w:ind w:right="49"/>
              <w:jc w:val="right"/>
              <w:rPr>
                <w:rFonts w:ascii="Arial Nova Light" w:eastAsia="Arial Nova" w:hAnsi="Arial Nova Light"/>
                <w:b/>
                <w:bCs/>
                <w:sz w:val="16"/>
                <w:szCs w:val="16"/>
              </w:rPr>
            </w:pPr>
            <w:r w:rsidRPr="00D11443">
              <w:rPr>
                <w:rFonts w:ascii="Arial Nova Light" w:hAnsi="Arial Nova Light" w:cs="Arial"/>
                <w:b/>
                <w:bCs/>
                <w:sz w:val="16"/>
                <w:szCs w:val="16"/>
              </w:rPr>
              <w:t>MORENA:</w:t>
            </w:r>
          </w:p>
        </w:tc>
        <w:tc>
          <w:tcPr>
            <w:tcW w:w="5108" w:type="dxa"/>
          </w:tcPr>
          <w:p w14:paraId="113A231E" w14:textId="0B57B5F6" w:rsidR="00480CFC" w:rsidRPr="00D11443" w:rsidRDefault="00480CFC" w:rsidP="00B70A01">
            <w:pPr>
              <w:pStyle w:val="Estilo"/>
              <w:rPr>
                <w:rFonts w:ascii="Arial Nova Light" w:eastAsia="Arial Nova" w:hAnsi="Arial Nova Light"/>
                <w:bCs/>
                <w:sz w:val="16"/>
                <w:szCs w:val="16"/>
              </w:rPr>
            </w:pPr>
            <w:r w:rsidRPr="00D11443">
              <w:rPr>
                <w:rFonts w:ascii="Arial Nova Light" w:hAnsi="Arial Nova Light" w:cs="Arial"/>
                <w:bCs/>
                <w:sz w:val="16"/>
                <w:szCs w:val="16"/>
                <w:lang w:eastAsia="es-MX"/>
              </w:rPr>
              <w:t>Partido Político MORENA.</w:t>
            </w:r>
          </w:p>
        </w:tc>
      </w:tr>
      <w:tr w:rsidR="00480CFC" w:rsidRPr="00D11443" w14:paraId="1EB0542B" w14:textId="77777777" w:rsidTr="00CC4367">
        <w:trPr>
          <w:jc w:val="center"/>
        </w:trPr>
        <w:tc>
          <w:tcPr>
            <w:tcW w:w="2405" w:type="dxa"/>
          </w:tcPr>
          <w:p w14:paraId="5171DFC3" w14:textId="5AAE88E5" w:rsidR="00480CFC" w:rsidRPr="00D11443" w:rsidRDefault="00E26A12" w:rsidP="00B70A01">
            <w:pPr>
              <w:tabs>
                <w:tab w:val="left" w:pos="284"/>
                <w:tab w:val="left" w:pos="9214"/>
              </w:tabs>
              <w:spacing w:line="240" w:lineRule="auto"/>
              <w:ind w:right="49"/>
              <w:jc w:val="right"/>
              <w:rPr>
                <w:rFonts w:ascii="Arial Nova Light" w:hAnsi="Arial Nova Light" w:cs="Arial"/>
                <w:b/>
                <w:bCs/>
                <w:sz w:val="16"/>
                <w:szCs w:val="16"/>
              </w:rPr>
            </w:pPr>
            <w:r w:rsidRPr="00D11443">
              <w:rPr>
                <w:rFonts w:ascii="Arial Nova Light" w:hAnsi="Arial Nova Light" w:cs="Arial"/>
                <w:b/>
                <w:bCs/>
                <w:sz w:val="16"/>
                <w:szCs w:val="16"/>
              </w:rPr>
              <w:t>Sala Monterrey:</w:t>
            </w:r>
          </w:p>
        </w:tc>
        <w:tc>
          <w:tcPr>
            <w:tcW w:w="5108" w:type="dxa"/>
          </w:tcPr>
          <w:p w14:paraId="18A21FF2" w14:textId="29CF7B13" w:rsidR="00480CFC" w:rsidRPr="00D11443" w:rsidRDefault="00E26A12" w:rsidP="00B70A01">
            <w:pPr>
              <w:pStyle w:val="Estilo"/>
              <w:rPr>
                <w:rFonts w:ascii="Arial Nova Light" w:hAnsi="Arial Nova Light"/>
                <w:sz w:val="16"/>
                <w:szCs w:val="16"/>
              </w:rPr>
            </w:pPr>
            <w:r w:rsidRPr="00D11443">
              <w:rPr>
                <w:rFonts w:ascii="Arial Nova Light" w:hAnsi="Arial Nova Light"/>
                <w:sz w:val="16"/>
                <w:szCs w:val="16"/>
              </w:rPr>
              <w:t>Sala Regional Monterrey del Tribunal Electoral del Poder Judicial de la Federación</w:t>
            </w:r>
          </w:p>
        </w:tc>
      </w:tr>
      <w:tr w:rsidR="00480CFC" w:rsidRPr="00D11443" w14:paraId="479C8159" w14:textId="77777777" w:rsidTr="00CC4367">
        <w:trPr>
          <w:jc w:val="center"/>
        </w:trPr>
        <w:tc>
          <w:tcPr>
            <w:tcW w:w="2405" w:type="dxa"/>
          </w:tcPr>
          <w:p w14:paraId="5C567D24" w14:textId="07D1BBB0" w:rsidR="00480CFC" w:rsidRPr="00D11443" w:rsidRDefault="00480CFC" w:rsidP="00B70A01">
            <w:pPr>
              <w:pStyle w:val="Estilo"/>
              <w:jc w:val="right"/>
              <w:rPr>
                <w:rFonts w:ascii="Arial Nova Light" w:hAnsi="Arial Nova Light"/>
                <w:b/>
                <w:bCs/>
                <w:sz w:val="16"/>
                <w:szCs w:val="16"/>
              </w:rPr>
            </w:pPr>
            <w:r w:rsidRPr="00D11443">
              <w:rPr>
                <w:rFonts w:ascii="Arial Nova Light" w:hAnsi="Arial Nova Light" w:cs="Arial"/>
                <w:b/>
                <w:bCs/>
                <w:sz w:val="16"/>
                <w:szCs w:val="16"/>
                <w:lang w:eastAsia="es-MX"/>
              </w:rPr>
              <w:t>Código Electoral:</w:t>
            </w:r>
          </w:p>
        </w:tc>
        <w:tc>
          <w:tcPr>
            <w:tcW w:w="5108" w:type="dxa"/>
          </w:tcPr>
          <w:p w14:paraId="7D0BC549" w14:textId="460F0057" w:rsidR="00480CFC" w:rsidRPr="00D11443" w:rsidRDefault="00480CFC" w:rsidP="00B70A01">
            <w:pPr>
              <w:pStyle w:val="Estilo"/>
              <w:rPr>
                <w:rFonts w:ascii="Arial Nova Light" w:hAnsi="Arial Nova Light"/>
                <w:sz w:val="16"/>
                <w:szCs w:val="16"/>
              </w:rPr>
            </w:pPr>
            <w:r w:rsidRPr="00D11443">
              <w:rPr>
                <w:rFonts w:ascii="Arial Nova Light" w:hAnsi="Arial Nova Light" w:cs="Arial"/>
                <w:bCs/>
                <w:sz w:val="16"/>
                <w:szCs w:val="16"/>
                <w:lang w:eastAsia="es-MX"/>
              </w:rPr>
              <w:t>Código Electoral del Estado de Aguascalientes.</w:t>
            </w:r>
          </w:p>
        </w:tc>
      </w:tr>
    </w:tbl>
    <w:p w14:paraId="13860DA4" w14:textId="77777777" w:rsidR="009A54F1" w:rsidRPr="004A240B" w:rsidRDefault="009A54F1" w:rsidP="009A54F1">
      <w:pPr>
        <w:pStyle w:val="Estilo"/>
        <w:spacing w:line="360" w:lineRule="auto"/>
        <w:rPr>
          <w:rFonts w:ascii="Arial Nova Light" w:hAnsi="Arial Nova Light"/>
          <w:szCs w:val="24"/>
        </w:rPr>
      </w:pPr>
    </w:p>
    <w:p w14:paraId="18C611D1" w14:textId="06B95C80" w:rsidR="009A54F1" w:rsidRPr="004A240B" w:rsidRDefault="009A54F1" w:rsidP="009A54F1">
      <w:pPr>
        <w:pStyle w:val="Estilo"/>
        <w:numPr>
          <w:ilvl w:val="0"/>
          <w:numId w:val="35"/>
        </w:numPr>
        <w:spacing w:line="360" w:lineRule="auto"/>
        <w:ind w:left="0" w:firstLine="0"/>
        <w:rPr>
          <w:rFonts w:ascii="Arial Nova Light" w:eastAsia="Arial" w:hAnsi="Arial Nova Light"/>
          <w:bCs/>
          <w:spacing w:val="1"/>
          <w:szCs w:val="24"/>
        </w:rPr>
      </w:pPr>
      <w:r w:rsidRPr="004A240B">
        <w:rPr>
          <w:rFonts w:ascii="Arial Nova Light" w:hAnsi="Arial Nova Light"/>
          <w:b/>
          <w:bCs/>
          <w:szCs w:val="24"/>
        </w:rPr>
        <w:t>ANTECEDENTES</w:t>
      </w:r>
      <w:r w:rsidRPr="004A240B">
        <w:rPr>
          <w:rFonts w:ascii="Arial Nova Light" w:hAnsi="Arial Nova Light"/>
          <w:szCs w:val="24"/>
        </w:rPr>
        <w:t xml:space="preserve">. Las fechas corresponden a la anualidad del dos </w:t>
      </w:r>
      <w:proofErr w:type="gramStart"/>
      <w:r w:rsidRPr="004A240B">
        <w:rPr>
          <w:rFonts w:ascii="Arial Nova Light" w:hAnsi="Arial Nova Light"/>
          <w:szCs w:val="24"/>
        </w:rPr>
        <w:t>mil</w:t>
      </w:r>
      <w:r w:rsidR="00500A21" w:rsidRPr="004A240B">
        <w:rPr>
          <w:rFonts w:ascii="Arial Nova Light" w:hAnsi="Arial Nova Light"/>
          <w:szCs w:val="24"/>
        </w:rPr>
        <w:t xml:space="preserve"> </w:t>
      </w:r>
      <w:r w:rsidRPr="004A240B">
        <w:rPr>
          <w:rFonts w:ascii="Arial Nova Light" w:hAnsi="Arial Nova Light"/>
          <w:szCs w:val="24"/>
        </w:rPr>
        <w:t>veintiuno</w:t>
      </w:r>
      <w:proofErr w:type="gramEnd"/>
      <w:r w:rsidRPr="004A240B">
        <w:rPr>
          <w:rFonts w:ascii="Arial Nova Light" w:hAnsi="Arial Nova Light"/>
          <w:szCs w:val="24"/>
        </w:rPr>
        <w:t>, salvo precisión en contrario.</w:t>
      </w:r>
    </w:p>
    <w:p w14:paraId="01A62C1D" w14:textId="77777777" w:rsidR="009A54F1" w:rsidRPr="004A240B" w:rsidRDefault="009A54F1" w:rsidP="009A54F1">
      <w:pPr>
        <w:pStyle w:val="Estilo"/>
        <w:spacing w:line="360" w:lineRule="auto"/>
        <w:rPr>
          <w:rFonts w:ascii="Arial Nova Light" w:eastAsia="Arial" w:hAnsi="Arial Nova Light"/>
          <w:bCs/>
          <w:spacing w:val="1"/>
          <w:szCs w:val="24"/>
        </w:rPr>
      </w:pPr>
    </w:p>
    <w:p w14:paraId="1F774790" w14:textId="77777777" w:rsidR="00920EBD" w:rsidRPr="004A240B" w:rsidRDefault="009A54F1"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4A240B">
        <w:rPr>
          <w:rFonts w:ascii="Arial Nova Light" w:eastAsia="Arial Nova" w:hAnsi="Arial Nova Light" w:cs="Arial Nova"/>
          <w:b/>
          <w:sz w:val="24"/>
          <w:szCs w:val="24"/>
        </w:rPr>
        <w:t xml:space="preserve">Inicio del Proceso Electoral. </w:t>
      </w:r>
      <w:r w:rsidRPr="004A240B">
        <w:rPr>
          <w:rFonts w:ascii="Arial Nova Light" w:eastAsia="Arial Nova" w:hAnsi="Arial Nova Light" w:cs="Arial Nova"/>
          <w:bCs/>
          <w:sz w:val="24"/>
          <w:szCs w:val="24"/>
        </w:rPr>
        <w:t xml:space="preserve">El día tres de noviembre del año dos mil veinte, en sesión extraordinaria del </w:t>
      </w:r>
      <w:r w:rsidR="004F26C6" w:rsidRPr="004A240B">
        <w:rPr>
          <w:rFonts w:ascii="Arial Nova Light" w:eastAsia="Arial Nova" w:hAnsi="Arial Nova Light" w:cs="Arial Nova"/>
          <w:bCs/>
          <w:sz w:val="24"/>
          <w:szCs w:val="24"/>
        </w:rPr>
        <w:t>CG</w:t>
      </w:r>
      <w:r w:rsidRPr="004A240B">
        <w:rPr>
          <w:rFonts w:ascii="Arial Nova Light" w:eastAsia="Arial Nova" w:hAnsi="Arial Nova Light" w:cs="Arial Nova"/>
          <w:bCs/>
          <w:sz w:val="24"/>
          <w:szCs w:val="24"/>
        </w:rPr>
        <w:t xml:space="preserve"> se realizó la declaratoria del inicio del Proceso Electoral Concurrente Ordinario 2020-2021 en el estado de Aguascalientes, para la renovación del Congreso del Estado y de los once Ayuntamientos que conforman la entidad.</w:t>
      </w:r>
    </w:p>
    <w:p w14:paraId="4B263508" w14:textId="6FD43097" w:rsidR="00920EBD" w:rsidRPr="004A240B" w:rsidRDefault="002F27E3"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4A240B">
        <w:rPr>
          <w:rFonts w:ascii="Arial Nova Light" w:hAnsi="Arial Nova Light" w:cs="Arial"/>
          <w:b/>
          <w:sz w:val="24"/>
          <w:szCs w:val="24"/>
        </w:rPr>
        <w:t xml:space="preserve">Emisión de la convocatoria. </w:t>
      </w:r>
      <w:r w:rsidRPr="004A240B">
        <w:rPr>
          <w:rFonts w:ascii="Arial Nova Light" w:hAnsi="Arial Nova Light" w:cs="Arial"/>
          <w:bCs/>
          <w:sz w:val="24"/>
          <w:szCs w:val="24"/>
        </w:rPr>
        <w:t>El treinta de enero, el Comité Ejecutivo Nacional de MORENA, emitió la convocatoria para la selección de las candidaturas para la postulación y registro de candidaturas de dicho partido</w:t>
      </w:r>
      <w:r w:rsidRPr="004A240B">
        <w:rPr>
          <w:rStyle w:val="Refdenotaalpie"/>
          <w:rFonts w:ascii="Arial Nova Light" w:hAnsi="Arial Nova Light" w:cs="Arial"/>
          <w:bCs/>
          <w:sz w:val="24"/>
          <w:szCs w:val="24"/>
        </w:rPr>
        <w:footnoteReference w:id="2"/>
      </w:r>
      <w:r w:rsidRPr="004A240B">
        <w:rPr>
          <w:rFonts w:ascii="Arial Nova Light" w:hAnsi="Arial Nova Light" w:cs="Arial"/>
          <w:bCs/>
          <w:sz w:val="24"/>
          <w:szCs w:val="24"/>
        </w:rPr>
        <w:t>.</w:t>
      </w:r>
      <w:bookmarkEnd w:id="0"/>
    </w:p>
    <w:p w14:paraId="3A590F43" w14:textId="77777777" w:rsidR="00920EBD" w:rsidRPr="004A240B" w:rsidRDefault="00920EBD" w:rsidP="00920EBD">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599C1FCA" w14:textId="52AFEC2D" w:rsidR="00920EBD" w:rsidRPr="004A240B" w:rsidRDefault="00920EBD"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4A240B">
        <w:rPr>
          <w:rFonts w:ascii="Arial Nova Light" w:hAnsi="Arial Nova Light" w:cs="Arial"/>
          <w:b/>
          <w:sz w:val="24"/>
          <w:szCs w:val="24"/>
        </w:rPr>
        <w:t xml:space="preserve">Registro de candidaturas. </w:t>
      </w:r>
      <w:r w:rsidRPr="004A240B">
        <w:rPr>
          <w:rFonts w:ascii="Arial Nova Light" w:hAnsi="Arial Nova Light" w:cs="Arial"/>
          <w:sz w:val="24"/>
          <w:szCs w:val="24"/>
        </w:rPr>
        <w:t>El IEE, aprobó la agenda electoral</w:t>
      </w:r>
      <w:r w:rsidRPr="004A240B">
        <w:rPr>
          <w:rStyle w:val="Refdenotaalpie"/>
          <w:rFonts w:ascii="Arial Nova Light" w:hAnsi="Arial Nova Light" w:cs="Arial"/>
          <w:sz w:val="24"/>
          <w:szCs w:val="24"/>
        </w:rPr>
        <w:footnoteReference w:id="3"/>
      </w:r>
      <w:r w:rsidRPr="004A240B">
        <w:rPr>
          <w:rFonts w:ascii="Arial Nova Light" w:hAnsi="Arial Nova Light" w:cs="Arial"/>
          <w:sz w:val="24"/>
          <w:szCs w:val="24"/>
        </w:rPr>
        <w:t xml:space="preserve"> para el actual proceso comicial, en la que estableció que el registro de candidaturas a los cargos de Ayuntamientos y diputaciones se realizaría del quince al veinte de marzo.  </w:t>
      </w:r>
      <w:bookmarkStart w:id="1" w:name="_Toc483300358"/>
      <w:bookmarkStart w:id="2" w:name="_Hlk49948350"/>
    </w:p>
    <w:p w14:paraId="3E154F5F" w14:textId="77777777" w:rsidR="00920EBD" w:rsidRPr="004A240B" w:rsidRDefault="00920EBD" w:rsidP="00920EBD">
      <w:pPr>
        <w:pStyle w:val="Prrafodelista"/>
        <w:rPr>
          <w:rFonts w:ascii="Arial Nova Light" w:eastAsia="Arial Nova" w:hAnsi="Arial Nova Light" w:cs="Arial Nova"/>
          <w:bCs/>
          <w:sz w:val="24"/>
          <w:szCs w:val="24"/>
        </w:rPr>
      </w:pPr>
    </w:p>
    <w:p w14:paraId="71E4C130" w14:textId="564E445F" w:rsidR="00920EBD" w:rsidRPr="004A240B" w:rsidRDefault="00920EBD"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4A240B">
        <w:rPr>
          <w:rFonts w:ascii="Arial Nova Light" w:hAnsi="Arial Nova Light" w:cs="Arial"/>
          <w:b/>
          <w:sz w:val="24"/>
          <w:szCs w:val="24"/>
        </w:rPr>
        <w:t xml:space="preserve">Solicitudes aprobadas. </w:t>
      </w:r>
      <w:r w:rsidRPr="004A240B">
        <w:rPr>
          <w:rFonts w:ascii="Arial Nova Light" w:hAnsi="Arial Nova Light" w:cs="Arial"/>
          <w:bCs/>
          <w:sz w:val="24"/>
          <w:szCs w:val="24"/>
        </w:rPr>
        <w:t>E</w:t>
      </w:r>
      <w:r w:rsidRPr="004A240B">
        <w:rPr>
          <w:rFonts w:ascii="Arial Nova Light" w:hAnsi="Arial Nova Light" w:cs="Arial"/>
          <w:sz w:val="24"/>
          <w:szCs w:val="24"/>
        </w:rPr>
        <w:t>l treinta de marzo</w:t>
      </w:r>
      <w:r w:rsidRPr="004A240B">
        <w:rPr>
          <w:rFonts w:ascii="Arial Nova Light" w:hAnsi="Arial Nova Light" w:cs="Arial"/>
          <w:bCs/>
          <w:sz w:val="24"/>
          <w:szCs w:val="24"/>
        </w:rPr>
        <w:t>,</w:t>
      </w:r>
      <w:r w:rsidRPr="004A240B">
        <w:rPr>
          <w:rFonts w:ascii="Arial Nova Light" w:hAnsi="Arial Nova Light" w:cs="Arial"/>
          <w:sz w:val="24"/>
          <w:szCs w:val="24"/>
        </w:rPr>
        <w:t xml:space="preserve"> la Comisión Nacional de Elecciones emitió a través de internet, la relación de solicitudes de registro aprobadas en los procesos internos para la selección de candidaturas para: presidencias municipales, diputaciones por el principio de mayoría relativa</w:t>
      </w:r>
      <w:r w:rsidR="00B97F9E" w:rsidRPr="004A240B">
        <w:rPr>
          <w:rFonts w:ascii="Arial Nova Light" w:hAnsi="Arial Nova Light" w:cs="Arial"/>
          <w:sz w:val="24"/>
          <w:szCs w:val="24"/>
        </w:rPr>
        <w:t xml:space="preserve">, </w:t>
      </w:r>
      <w:r w:rsidRPr="004A240B">
        <w:rPr>
          <w:rFonts w:ascii="Arial Nova Light" w:hAnsi="Arial Nova Light" w:cs="Arial"/>
          <w:sz w:val="24"/>
          <w:szCs w:val="24"/>
        </w:rPr>
        <w:t>sindicaturas y regidurías en el estado de Aguascalientes.</w:t>
      </w:r>
    </w:p>
    <w:p w14:paraId="5D2349B1" w14:textId="77777777" w:rsidR="00920EBD" w:rsidRPr="004A240B" w:rsidRDefault="00920EBD" w:rsidP="00920EBD">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42A73BFF" w14:textId="16AB64B7" w:rsidR="009F14C6" w:rsidRPr="004A240B" w:rsidRDefault="009F14C6" w:rsidP="009F14C6">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4A240B">
        <w:rPr>
          <w:rFonts w:ascii="Arial Nova Light" w:hAnsi="Arial Nova Light" w:cs="Arial"/>
          <w:b/>
          <w:bCs/>
          <w:sz w:val="24"/>
          <w:szCs w:val="24"/>
        </w:rPr>
        <w:t xml:space="preserve">Resolución dictada en cumplimiento. </w:t>
      </w:r>
      <w:r w:rsidRPr="004A240B">
        <w:rPr>
          <w:rFonts w:ascii="Arial Nova Light" w:hAnsi="Arial Nova Light" w:cs="Arial"/>
          <w:sz w:val="24"/>
          <w:szCs w:val="24"/>
        </w:rPr>
        <w:t xml:space="preserve">El </w:t>
      </w:r>
      <w:r w:rsidR="0077088B" w:rsidRPr="004A240B">
        <w:rPr>
          <w:rFonts w:ascii="Arial Nova Light" w:hAnsi="Arial Nova Light" w:cs="Arial"/>
          <w:sz w:val="24"/>
          <w:szCs w:val="24"/>
        </w:rPr>
        <w:t>diecinueve de abril</w:t>
      </w:r>
      <w:r w:rsidRPr="004A240B">
        <w:rPr>
          <w:rFonts w:ascii="Arial Nova Light" w:hAnsi="Arial Nova Light" w:cs="Arial"/>
          <w:sz w:val="24"/>
          <w:szCs w:val="24"/>
        </w:rPr>
        <w:t xml:space="preserve">, la CNHJ emitió </w:t>
      </w:r>
      <w:r w:rsidR="003958FB" w:rsidRPr="004A240B">
        <w:rPr>
          <w:rFonts w:ascii="Arial Nova Light" w:hAnsi="Arial Nova Light" w:cs="Arial"/>
          <w:sz w:val="24"/>
          <w:szCs w:val="24"/>
        </w:rPr>
        <w:t xml:space="preserve">la resolución CNHJ-AGS-643/2021, en cumplimiento a lo ordenado por este Tribunal en el expediente TEEA-JDC-92/2021. </w:t>
      </w:r>
    </w:p>
    <w:p w14:paraId="59BFBD8A" w14:textId="77777777" w:rsidR="00B9396B" w:rsidRPr="004A240B" w:rsidRDefault="00B9396B" w:rsidP="00B9396B">
      <w:pPr>
        <w:pStyle w:val="Prrafodelista"/>
        <w:rPr>
          <w:rFonts w:ascii="Arial Nova Light" w:hAnsi="Arial Nova Light"/>
          <w:b/>
          <w:bCs/>
          <w:sz w:val="24"/>
          <w:szCs w:val="24"/>
        </w:rPr>
      </w:pPr>
    </w:p>
    <w:p w14:paraId="07EAE780" w14:textId="48437E12" w:rsidR="00B9396B" w:rsidRPr="004A240B" w:rsidRDefault="00B9396B" w:rsidP="009F14C6">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4A240B">
        <w:rPr>
          <w:rFonts w:ascii="Arial Nova Light" w:hAnsi="Arial Nova Light"/>
          <w:b/>
          <w:bCs/>
          <w:sz w:val="24"/>
          <w:szCs w:val="24"/>
        </w:rPr>
        <w:t xml:space="preserve">Interposición de JDC Federal. </w:t>
      </w:r>
      <w:r w:rsidRPr="004A240B">
        <w:rPr>
          <w:rFonts w:ascii="Arial Nova Light" w:hAnsi="Arial Nova Light"/>
          <w:sz w:val="24"/>
          <w:szCs w:val="24"/>
        </w:rPr>
        <w:t>El veintiséis de abril, quienes promueven presentaron medio de impugnación en contra del Acuerdo Plenario</w:t>
      </w:r>
      <w:r w:rsidR="00731049" w:rsidRPr="004A240B">
        <w:rPr>
          <w:rFonts w:ascii="Arial Nova Light" w:hAnsi="Arial Nova Light"/>
          <w:sz w:val="24"/>
          <w:szCs w:val="24"/>
        </w:rPr>
        <w:t xml:space="preserve"> de Cumplimiento</w:t>
      </w:r>
      <w:r w:rsidRPr="004A240B">
        <w:rPr>
          <w:rFonts w:ascii="Arial Nova Light" w:hAnsi="Arial Nova Light"/>
          <w:sz w:val="24"/>
          <w:szCs w:val="24"/>
        </w:rPr>
        <w:t xml:space="preserve"> dictado en el expediente TE</w:t>
      </w:r>
      <w:r w:rsidR="00731049" w:rsidRPr="004A240B">
        <w:rPr>
          <w:rFonts w:ascii="Arial Nova Light" w:hAnsi="Arial Nova Light"/>
          <w:sz w:val="24"/>
          <w:szCs w:val="24"/>
        </w:rPr>
        <w:t xml:space="preserve">EA-JDC-092/2021. </w:t>
      </w:r>
    </w:p>
    <w:p w14:paraId="24B58519" w14:textId="77777777" w:rsidR="009F14C6" w:rsidRPr="004A240B" w:rsidRDefault="009F14C6" w:rsidP="009F14C6">
      <w:pPr>
        <w:pStyle w:val="Prrafodelista"/>
        <w:rPr>
          <w:rFonts w:ascii="Arial Nova Light" w:hAnsi="Arial Nova Light" w:cs="Arial"/>
          <w:sz w:val="24"/>
          <w:szCs w:val="24"/>
        </w:rPr>
      </w:pPr>
    </w:p>
    <w:bookmarkEnd w:id="1"/>
    <w:bookmarkEnd w:id="2"/>
    <w:p w14:paraId="3B64C134" w14:textId="3A5A61F0" w:rsidR="00787551" w:rsidRPr="004A240B" w:rsidRDefault="008B7283"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Light" w:hAnsi="Arial Nova Light"/>
          <w:sz w:val="24"/>
          <w:szCs w:val="24"/>
        </w:rPr>
      </w:pPr>
      <w:r w:rsidRPr="004A240B">
        <w:rPr>
          <w:rFonts w:ascii="Arial Nova Light" w:hAnsi="Arial Nova Light"/>
          <w:b/>
          <w:bCs/>
          <w:sz w:val="24"/>
          <w:szCs w:val="24"/>
        </w:rPr>
        <w:t>Reencauzamiento</w:t>
      </w:r>
      <w:r w:rsidR="00C10876" w:rsidRPr="004A240B">
        <w:rPr>
          <w:rFonts w:ascii="Arial Nova Light" w:hAnsi="Arial Nova Light"/>
          <w:b/>
          <w:bCs/>
          <w:sz w:val="24"/>
          <w:szCs w:val="24"/>
        </w:rPr>
        <w:t>.</w:t>
      </w:r>
      <w:r w:rsidR="00C10876" w:rsidRPr="004A240B">
        <w:rPr>
          <w:rFonts w:ascii="Arial Nova Light" w:hAnsi="Arial Nova Light"/>
          <w:sz w:val="24"/>
          <w:szCs w:val="24"/>
        </w:rPr>
        <w:t xml:space="preserve"> El día </w:t>
      </w:r>
      <w:r w:rsidR="00731049" w:rsidRPr="004A240B">
        <w:rPr>
          <w:rFonts w:ascii="Arial Nova Light" w:hAnsi="Arial Nova Light"/>
          <w:sz w:val="24"/>
          <w:szCs w:val="24"/>
        </w:rPr>
        <w:t>cinco de mayo, se recibió en este Tribunal, el Acuerdo Plenario de Improcedencia y Reencauzamiento dictado por la Sala Monterrey, dentro del expediente SM-</w:t>
      </w:r>
      <w:r w:rsidR="00C30BEE" w:rsidRPr="004A240B">
        <w:rPr>
          <w:rFonts w:ascii="Arial Nova Light" w:hAnsi="Arial Nova Light"/>
          <w:sz w:val="24"/>
          <w:szCs w:val="24"/>
        </w:rPr>
        <w:t xml:space="preserve">JDC-310/2021, en el que precisó que el acto que pretenden combatir, es competencia de este Pleno. </w:t>
      </w:r>
    </w:p>
    <w:p w14:paraId="3AC16286" w14:textId="77777777" w:rsidR="008B7283" w:rsidRPr="004A240B" w:rsidRDefault="008B7283" w:rsidP="00C30BEE">
      <w:pPr>
        <w:rPr>
          <w:rFonts w:ascii="Arial Nova Light" w:eastAsia="Arial" w:hAnsi="Arial Nova Light"/>
          <w:spacing w:val="1"/>
          <w:sz w:val="24"/>
          <w:szCs w:val="24"/>
        </w:rPr>
      </w:pPr>
    </w:p>
    <w:p w14:paraId="1B95323E" w14:textId="7FD85576" w:rsidR="00AD361F" w:rsidRPr="004A240B" w:rsidRDefault="00AD361F" w:rsidP="00AD361F">
      <w:pPr>
        <w:pStyle w:val="Estilo"/>
        <w:numPr>
          <w:ilvl w:val="1"/>
          <w:numId w:val="34"/>
        </w:numPr>
        <w:spacing w:line="360" w:lineRule="auto"/>
        <w:ind w:left="0" w:firstLine="0"/>
        <w:rPr>
          <w:rFonts w:ascii="Arial Nova Light" w:hAnsi="Arial Nova Light"/>
          <w:szCs w:val="24"/>
        </w:rPr>
      </w:pPr>
      <w:r w:rsidRPr="004A240B">
        <w:rPr>
          <w:rFonts w:ascii="Arial Nova Light" w:hAnsi="Arial Nova Light"/>
          <w:b/>
          <w:szCs w:val="24"/>
        </w:rPr>
        <w:t>Turno</w:t>
      </w:r>
      <w:r w:rsidRPr="004A240B">
        <w:rPr>
          <w:rFonts w:ascii="Arial Nova Light" w:hAnsi="Arial Nova Light"/>
          <w:bCs/>
          <w:szCs w:val="24"/>
        </w:rPr>
        <w:t>.</w:t>
      </w:r>
      <w:r w:rsidRPr="004A240B">
        <w:rPr>
          <w:rFonts w:ascii="Arial Nova Light" w:hAnsi="Arial Nova Light"/>
          <w:szCs w:val="24"/>
        </w:rPr>
        <w:t xml:space="preserve"> Por acuerdo de presidencia de </w:t>
      </w:r>
      <w:r w:rsidR="00C115D3" w:rsidRPr="004A240B">
        <w:rPr>
          <w:rFonts w:ascii="Arial Nova Light" w:hAnsi="Arial Nova Light"/>
          <w:szCs w:val="24"/>
        </w:rPr>
        <w:t>fecha cinco</w:t>
      </w:r>
      <w:r w:rsidRPr="004A240B">
        <w:rPr>
          <w:rFonts w:ascii="Arial Nova Light" w:hAnsi="Arial Nova Light"/>
          <w:szCs w:val="24"/>
        </w:rPr>
        <w:t xml:space="preserve"> de </w:t>
      </w:r>
      <w:r w:rsidR="00685333" w:rsidRPr="004A240B">
        <w:rPr>
          <w:rFonts w:ascii="Arial Nova Light" w:hAnsi="Arial Nova Light"/>
          <w:szCs w:val="24"/>
        </w:rPr>
        <w:t>mayo</w:t>
      </w:r>
      <w:r w:rsidRPr="004A240B">
        <w:rPr>
          <w:rFonts w:ascii="Arial Nova Light" w:hAnsi="Arial Nova Light"/>
          <w:szCs w:val="24"/>
        </w:rPr>
        <w:t xml:space="preserve">, </w:t>
      </w:r>
      <w:r w:rsidR="00C115D3" w:rsidRPr="004A240B">
        <w:rPr>
          <w:rFonts w:ascii="Arial Nova Light" w:hAnsi="Arial Nova Light"/>
          <w:szCs w:val="24"/>
        </w:rPr>
        <w:t>le fue</w:t>
      </w:r>
      <w:r w:rsidRPr="004A240B">
        <w:rPr>
          <w:rFonts w:ascii="Arial Nova Light" w:hAnsi="Arial Nova Light"/>
          <w:szCs w:val="24"/>
        </w:rPr>
        <w:t xml:space="preserve"> asignado</w:t>
      </w:r>
      <w:r w:rsidR="00C115D3" w:rsidRPr="004A240B">
        <w:rPr>
          <w:rFonts w:ascii="Arial Nova Light" w:hAnsi="Arial Nova Light"/>
          <w:szCs w:val="24"/>
        </w:rPr>
        <w:t xml:space="preserve"> el </w:t>
      </w:r>
      <w:r w:rsidRPr="004A240B">
        <w:rPr>
          <w:rFonts w:ascii="Arial Nova Light" w:hAnsi="Arial Nova Light"/>
          <w:szCs w:val="24"/>
        </w:rPr>
        <w:t xml:space="preserve">número de expediente </w:t>
      </w:r>
      <w:r w:rsidRPr="004A240B">
        <w:rPr>
          <w:rFonts w:ascii="Arial Nova Light" w:hAnsi="Arial Nova Light"/>
          <w:bCs/>
          <w:szCs w:val="24"/>
        </w:rPr>
        <w:t>TEEA-JDC-</w:t>
      </w:r>
      <w:r w:rsidR="00C115D3" w:rsidRPr="004A240B">
        <w:rPr>
          <w:rFonts w:ascii="Arial Nova Light" w:hAnsi="Arial Nova Light"/>
          <w:bCs/>
          <w:szCs w:val="24"/>
        </w:rPr>
        <w:t>117</w:t>
      </w:r>
      <w:r w:rsidRPr="004A240B">
        <w:rPr>
          <w:rFonts w:ascii="Arial Nova Light" w:hAnsi="Arial Nova Light"/>
          <w:bCs/>
          <w:szCs w:val="24"/>
        </w:rPr>
        <w:t>/2021</w:t>
      </w:r>
      <w:r w:rsidR="00C115D3" w:rsidRPr="004A240B">
        <w:rPr>
          <w:rFonts w:ascii="Arial Nova Light" w:hAnsi="Arial Nova Light"/>
          <w:bCs/>
          <w:szCs w:val="24"/>
        </w:rPr>
        <w:t>. Mismo que fue</w:t>
      </w:r>
      <w:r w:rsidRPr="004A240B">
        <w:rPr>
          <w:rFonts w:ascii="Arial Nova Light" w:hAnsi="Arial Nova Light"/>
          <w:szCs w:val="24"/>
        </w:rPr>
        <w:t xml:space="preserve"> turnado </w:t>
      </w:r>
      <w:r w:rsidR="00C115D3" w:rsidRPr="004A240B">
        <w:rPr>
          <w:rFonts w:ascii="Arial Nova Light" w:hAnsi="Arial Nova Light"/>
          <w:szCs w:val="24"/>
        </w:rPr>
        <w:t xml:space="preserve">a la Ponencia de la Magistrada Claudia Eloisa Díaz de León </w:t>
      </w:r>
      <w:r w:rsidR="00685333" w:rsidRPr="004A240B">
        <w:rPr>
          <w:rFonts w:ascii="Arial Nova Light" w:hAnsi="Arial Nova Light"/>
          <w:szCs w:val="24"/>
        </w:rPr>
        <w:t>González</w:t>
      </w:r>
      <w:r w:rsidR="00C115D3" w:rsidRPr="004A240B">
        <w:rPr>
          <w:rFonts w:ascii="Arial Nova Light" w:hAnsi="Arial Nova Light"/>
          <w:szCs w:val="24"/>
        </w:rPr>
        <w:t xml:space="preserve">. </w:t>
      </w:r>
    </w:p>
    <w:p w14:paraId="248CCFE0" w14:textId="77777777" w:rsidR="00AD361F" w:rsidRPr="004A240B" w:rsidRDefault="00AD361F" w:rsidP="00AD361F">
      <w:pPr>
        <w:pStyle w:val="Estilo"/>
        <w:spacing w:line="360" w:lineRule="auto"/>
        <w:rPr>
          <w:rFonts w:ascii="Arial Nova Light" w:hAnsi="Arial Nova Light"/>
          <w:szCs w:val="24"/>
        </w:rPr>
      </w:pPr>
    </w:p>
    <w:p w14:paraId="53B9AB6B" w14:textId="7B0C6D17" w:rsidR="009A54F1" w:rsidRPr="004A240B" w:rsidRDefault="009A54F1" w:rsidP="009A54F1">
      <w:pPr>
        <w:pStyle w:val="Estilo"/>
        <w:numPr>
          <w:ilvl w:val="1"/>
          <w:numId w:val="34"/>
        </w:numPr>
        <w:spacing w:line="360" w:lineRule="auto"/>
        <w:ind w:left="0" w:firstLine="0"/>
        <w:rPr>
          <w:rFonts w:ascii="Arial Nova Light" w:hAnsi="Arial Nova Light"/>
          <w:szCs w:val="24"/>
        </w:rPr>
      </w:pPr>
      <w:r w:rsidRPr="004A240B">
        <w:rPr>
          <w:rFonts w:ascii="Arial Nova Light" w:hAnsi="Arial Nova Light"/>
          <w:b/>
          <w:bCs/>
          <w:szCs w:val="24"/>
        </w:rPr>
        <w:t xml:space="preserve">Recepción de </w:t>
      </w:r>
      <w:r w:rsidR="00685333" w:rsidRPr="004A240B">
        <w:rPr>
          <w:rFonts w:ascii="Arial Nova Light" w:hAnsi="Arial Nova Light"/>
          <w:b/>
          <w:bCs/>
          <w:szCs w:val="24"/>
        </w:rPr>
        <w:t>constancias</w:t>
      </w:r>
      <w:r w:rsidRPr="004A240B">
        <w:rPr>
          <w:rFonts w:ascii="Arial Nova Light" w:hAnsi="Arial Nova Light"/>
          <w:b/>
          <w:bCs/>
          <w:szCs w:val="24"/>
        </w:rPr>
        <w:t xml:space="preserve"> en el TEEA.</w:t>
      </w:r>
      <w:r w:rsidRPr="004A240B">
        <w:rPr>
          <w:rFonts w:ascii="Arial Nova Light" w:hAnsi="Arial Nova Light"/>
          <w:szCs w:val="24"/>
        </w:rPr>
        <w:t xml:space="preserve"> El </w:t>
      </w:r>
      <w:r w:rsidR="00C23393">
        <w:rPr>
          <w:rFonts w:ascii="Arial Nova Light" w:hAnsi="Arial Nova Light"/>
          <w:szCs w:val="24"/>
        </w:rPr>
        <w:t>once</w:t>
      </w:r>
      <w:r w:rsidR="00392740" w:rsidRPr="004A240B">
        <w:rPr>
          <w:rFonts w:ascii="Arial Nova Light" w:hAnsi="Arial Nova Light"/>
          <w:szCs w:val="24"/>
        </w:rPr>
        <w:t xml:space="preserve"> de </w:t>
      </w:r>
      <w:r w:rsidR="00685333" w:rsidRPr="004A240B">
        <w:rPr>
          <w:rFonts w:ascii="Arial Nova Light" w:hAnsi="Arial Nova Light"/>
          <w:szCs w:val="24"/>
        </w:rPr>
        <w:t>mayo</w:t>
      </w:r>
      <w:r w:rsidRPr="004A240B">
        <w:rPr>
          <w:rFonts w:ascii="Arial Nova Light" w:hAnsi="Arial Nova Light"/>
          <w:szCs w:val="24"/>
        </w:rPr>
        <w:t xml:space="preserve">, la responsable remitió a este Tribunal </w:t>
      </w:r>
      <w:r w:rsidR="00685333" w:rsidRPr="004A240B">
        <w:rPr>
          <w:rFonts w:ascii="Arial Nova Light" w:hAnsi="Arial Nova Light"/>
          <w:szCs w:val="24"/>
        </w:rPr>
        <w:t>las constancias de trámite correspondiente</w:t>
      </w:r>
      <w:r w:rsidR="00392740" w:rsidRPr="004A240B">
        <w:rPr>
          <w:rFonts w:ascii="Arial Nova Light" w:hAnsi="Arial Nova Light"/>
          <w:szCs w:val="24"/>
        </w:rPr>
        <w:t xml:space="preserve"> </w:t>
      </w:r>
      <w:r w:rsidR="0086640D" w:rsidRPr="004A240B">
        <w:rPr>
          <w:rFonts w:ascii="Arial Nova Light" w:hAnsi="Arial Nova Light"/>
          <w:szCs w:val="24"/>
        </w:rPr>
        <w:t>vía correo electrónico</w:t>
      </w:r>
      <w:r w:rsidRPr="004A240B">
        <w:rPr>
          <w:rFonts w:ascii="Arial Nova Light" w:hAnsi="Arial Nova Light"/>
          <w:szCs w:val="24"/>
        </w:rPr>
        <w:t xml:space="preserve">, </w:t>
      </w:r>
      <w:r w:rsidR="00FF5068" w:rsidRPr="004A240B">
        <w:rPr>
          <w:rFonts w:ascii="Arial Nova Light" w:hAnsi="Arial Nova Light"/>
          <w:szCs w:val="24"/>
        </w:rPr>
        <w:t xml:space="preserve">así como </w:t>
      </w:r>
      <w:r w:rsidRPr="004A240B">
        <w:rPr>
          <w:rFonts w:ascii="Arial Nova Light" w:hAnsi="Arial Nova Light"/>
          <w:szCs w:val="24"/>
        </w:rPr>
        <w:t>el informe circunstanciad</w:t>
      </w:r>
      <w:r w:rsidR="00FF5068" w:rsidRPr="004A240B">
        <w:rPr>
          <w:rFonts w:ascii="Arial Nova Light" w:hAnsi="Arial Nova Light"/>
          <w:szCs w:val="24"/>
        </w:rPr>
        <w:t>o</w:t>
      </w:r>
      <w:r w:rsidRPr="004A240B">
        <w:rPr>
          <w:rFonts w:ascii="Arial Nova Light" w:hAnsi="Arial Nova Light"/>
          <w:szCs w:val="24"/>
        </w:rPr>
        <w:t xml:space="preserve">. </w:t>
      </w:r>
    </w:p>
    <w:p w14:paraId="14F21425" w14:textId="77777777" w:rsidR="009A54F1" w:rsidRPr="004A240B" w:rsidRDefault="009A54F1" w:rsidP="009A54F1">
      <w:pPr>
        <w:pStyle w:val="Estilo"/>
        <w:spacing w:line="360" w:lineRule="auto"/>
        <w:rPr>
          <w:rFonts w:ascii="Arial Nova Light" w:hAnsi="Arial Nova Light"/>
          <w:szCs w:val="24"/>
        </w:rPr>
      </w:pPr>
    </w:p>
    <w:p w14:paraId="6C948608" w14:textId="77777777" w:rsidR="009A54F1" w:rsidRPr="004A240B" w:rsidRDefault="009A54F1" w:rsidP="009A54F1">
      <w:pPr>
        <w:pStyle w:val="Estilo"/>
        <w:numPr>
          <w:ilvl w:val="1"/>
          <w:numId w:val="34"/>
        </w:numPr>
        <w:spacing w:line="360" w:lineRule="auto"/>
        <w:ind w:left="0" w:firstLine="0"/>
        <w:rPr>
          <w:rFonts w:ascii="Arial Nova Light" w:hAnsi="Arial Nova Light"/>
          <w:szCs w:val="24"/>
        </w:rPr>
      </w:pPr>
      <w:r w:rsidRPr="004A240B">
        <w:rPr>
          <w:rFonts w:ascii="Arial Nova Light" w:hAnsi="Arial Nova Light"/>
          <w:b/>
          <w:bCs/>
          <w:szCs w:val="24"/>
        </w:rPr>
        <w:t>Radicación y admisión.</w:t>
      </w:r>
      <w:r w:rsidRPr="004A240B">
        <w:rPr>
          <w:rFonts w:ascii="Arial Nova Light" w:hAnsi="Arial Nova Light"/>
          <w:szCs w:val="24"/>
        </w:rPr>
        <w:t xml:space="preserve"> La magistrada instructora radicó el expediente, y en su oportunidad, admitió la demanda. </w:t>
      </w:r>
    </w:p>
    <w:p w14:paraId="762843D2" w14:textId="77777777" w:rsidR="00695074" w:rsidRPr="004A240B" w:rsidRDefault="00695074" w:rsidP="00695074">
      <w:pPr>
        <w:pStyle w:val="Estilo"/>
        <w:spacing w:line="360" w:lineRule="auto"/>
        <w:rPr>
          <w:rFonts w:ascii="Arial Nova Light" w:hAnsi="Arial Nova Light"/>
          <w:szCs w:val="24"/>
        </w:rPr>
      </w:pPr>
    </w:p>
    <w:p w14:paraId="6CA17D8E" w14:textId="72AB5D17" w:rsidR="009A54F1" w:rsidRPr="004A240B" w:rsidRDefault="009A54F1" w:rsidP="009A54F1">
      <w:pPr>
        <w:pStyle w:val="Estilo"/>
        <w:numPr>
          <w:ilvl w:val="1"/>
          <w:numId w:val="34"/>
        </w:numPr>
        <w:spacing w:line="360" w:lineRule="auto"/>
        <w:ind w:left="0" w:firstLine="0"/>
        <w:rPr>
          <w:rFonts w:ascii="Arial Nova Light" w:hAnsi="Arial Nova Light"/>
          <w:szCs w:val="24"/>
        </w:rPr>
      </w:pPr>
      <w:r w:rsidRPr="004A240B">
        <w:rPr>
          <w:rFonts w:ascii="Arial Nova Light" w:hAnsi="Arial Nova Light"/>
          <w:b/>
          <w:bCs/>
          <w:szCs w:val="24"/>
        </w:rPr>
        <w:t>Cierre de instrucción</w:t>
      </w:r>
      <w:r w:rsidRPr="004A240B">
        <w:rPr>
          <w:rFonts w:ascii="Arial Nova Light" w:hAnsi="Arial Nova Light"/>
          <w:szCs w:val="24"/>
        </w:rPr>
        <w:t xml:space="preserve">. Una vez substanciado en todas sus etapas el expediente, </w:t>
      </w:r>
      <w:r w:rsidR="00695074" w:rsidRPr="004A240B">
        <w:rPr>
          <w:rFonts w:ascii="Arial Nova Light" w:hAnsi="Arial Nova Light"/>
          <w:szCs w:val="24"/>
        </w:rPr>
        <w:t>la Magistrada Ponente</w:t>
      </w:r>
      <w:r w:rsidRPr="004A240B">
        <w:rPr>
          <w:rFonts w:ascii="Arial Nova Light" w:hAnsi="Arial Nova Light"/>
          <w:szCs w:val="24"/>
        </w:rPr>
        <w:t xml:space="preserve">, declaró el cierre de instrucción, y ordenó formular el proyecto de resolución. </w:t>
      </w:r>
    </w:p>
    <w:p w14:paraId="0A5A98E4" w14:textId="77777777" w:rsidR="009A54F1" w:rsidRPr="004A240B" w:rsidRDefault="009A54F1" w:rsidP="009A54F1">
      <w:pPr>
        <w:pStyle w:val="Estilo"/>
        <w:spacing w:line="360" w:lineRule="auto"/>
        <w:rPr>
          <w:rFonts w:ascii="Arial Nova Light" w:hAnsi="Arial Nova Light"/>
          <w:szCs w:val="24"/>
        </w:rPr>
      </w:pPr>
    </w:p>
    <w:p w14:paraId="705703CF" w14:textId="2CEECCB9" w:rsidR="00087A18" w:rsidRPr="004A240B" w:rsidRDefault="009A54F1" w:rsidP="00087A18">
      <w:pPr>
        <w:pStyle w:val="Estilo"/>
        <w:numPr>
          <w:ilvl w:val="0"/>
          <w:numId w:val="35"/>
        </w:numPr>
        <w:spacing w:line="360" w:lineRule="auto"/>
        <w:ind w:left="0" w:firstLine="0"/>
        <w:rPr>
          <w:rFonts w:ascii="Arial Nova Light" w:hAnsi="Arial Nova Light"/>
          <w:szCs w:val="24"/>
        </w:rPr>
      </w:pPr>
      <w:r w:rsidRPr="004A240B">
        <w:rPr>
          <w:rFonts w:ascii="Arial Nova Light" w:eastAsia="Arial" w:hAnsi="Arial Nova Light"/>
          <w:b/>
          <w:bCs/>
          <w:szCs w:val="24"/>
        </w:rPr>
        <w:t>COMPETENCIA</w:t>
      </w:r>
      <w:r w:rsidRPr="004A240B">
        <w:rPr>
          <w:rFonts w:ascii="Arial Nova Light" w:eastAsia="Arial" w:hAnsi="Arial Nova Light"/>
          <w:szCs w:val="24"/>
        </w:rPr>
        <w:t xml:space="preserve">. </w:t>
      </w:r>
      <w:r w:rsidRPr="004A240B">
        <w:rPr>
          <w:rFonts w:ascii="Arial Nova Light" w:hAnsi="Arial Nova Light"/>
          <w:szCs w:val="24"/>
        </w:rPr>
        <w:t xml:space="preserve">De conformidad con lo previsto en los artículos 1, 2, 9 y 10, fracción, IV, 12 y 13 de los Lineamientos y 9 del Reglamento Interior, este Tribunal es competente para conocer y resolver </w:t>
      </w:r>
      <w:r w:rsidR="0012064C" w:rsidRPr="004A240B">
        <w:rPr>
          <w:rFonts w:ascii="Arial Nova Light" w:hAnsi="Arial Nova Light"/>
          <w:szCs w:val="24"/>
        </w:rPr>
        <w:t>el</w:t>
      </w:r>
      <w:r w:rsidRPr="004A240B">
        <w:rPr>
          <w:rFonts w:ascii="Arial Nova Light" w:hAnsi="Arial Nova Light"/>
          <w:szCs w:val="24"/>
        </w:rPr>
        <w:t xml:space="preserve"> JDC promovido</w:t>
      </w:r>
      <w:r w:rsidR="00BE21B4" w:rsidRPr="004A240B">
        <w:rPr>
          <w:rFonts w:ascii="Arial Nova Light" w:hAnsi="Arial Nova Light"/>
          <w:szCs w:val="24"/>
        </w:rPr>
        <w:t xml:space="preserve"> </w:t>
      </w:r>
      <w:r w:rsidRPr="004A240B">
        <w:rPr>
          <w:rFonts w:ascii="Arial Nova Light" w:hAnsi="Arial Nova Light"/>
          <w:bCs/>
          <w:szCs w:val="24"/>
        </w:rPr>
        <w:t>en contra</w:t>
      </w:r>
      <w:r w:rsidR="0012064C" w:rsidRPr="004A240B">
        <w:rPr>
          <w:rFonts w:ascii="Arial Nova Light" w:hAnsi="Arial Nova Light"/>
          <w:bCs/>
          <w:szCs w:val="24"/>
        </w:rPr>
        <w:t xml:space="preserve"> de</w:t>
      </w:r>
      <w:r w:rsidRPr="004A240B">
        <w:rPr>
          <w:rFonts w:ascii="Arial Nova Light" w:hAnsi="Arial Nova Light"/>
          <w:bCs/>
          <w:szCs w:val="24"/>
        </w:rPr>
        <w:t xml:space="preserve"> </w:t>
      </w:r>
      <w:r w:rsidR="00FF5068" w:rsidRPr="004A240B">
        <w:rPr>
          <w:rFonts w:ascii="Arial Nova Light" w:hAnsi="Arial Nova Light"/>
          <w:bCs/>
          <w:szCs w:val="24"/>
        </w:rPr>
        <w:t>la resolución</w:t>
      </w:r>
      <w:r w:rsidR="00BE21B4" w:rsidRPr="004A240B">
        <w:rPr>
          <w:rFonts w:ascii="Arial Nova Light" w:hAnsi="Arial Nova Light"/>
          <w:bCs/>
          <w:szCs w:val="24"/>
        </w:rPr>
        <w:t xml:space="preserve"> dictad</w:t>
      </w:r>
      <w:r w:rsidR="00FF5068" w:rsidRPr="004A240B">
        <w:rPr>
          <w:rFonts w:ascii="Arial Nova Light" w:hAnsi="Arial Nova Light"/>
          <w:bCs/>
          <w:szCs w:val="24"/>
        </w:rPr>
        <w:t>a</w:t>
      </w:r>
      <w:r w:rsidR="00BE21B4" w:rsidRPr="004A240B">
        <w:rPr>
          <w:rFonts w:ascii="Arial Nova Light" w:hAnsi="Arial Nova Light"/>
          <w:bCs/>
          <w:szCs w:val="24"/>
        </w:rPr>
        <w:t xml:space="preserve"> por la CNHJ en fecha </w:t>
      </w:r>
      <w:r w:rsidR="00FF5068" w:rsidRPr="004A240B">
        <w:rPr>
          <w:rFonts w:ascii="Arial Nova Light" w:hAnsi="Arial Nova Light"/>
          <w:bCs/>
          <w:szCs w:val="24"/>
        </w:rPr>
        <w:t>diecinueve</w:t>
      </w:r>
      <w:r w:rsidR="00BE21B4" w:rsidRPr="004A240B">
        <w:rPr>
          <w:rFonts w:ascii="Arial Nova Light" w:hAnsi="Arial Nova Light"/>
          <w:bCs/>
          <w:szCs w:val="24"/>
        </w:rPr>
        <w:t xml:space="preserve"> de abril, </w:t>
      </w:r>
      <w:r w:rsidR="000B2923" w:rsidRPr="004A240B">
        <w:rPr>
          <w:rFonts w:ascii="Arial Nova Light" w:hAnsi="Arial Nova Light"/>
          <w:bCs/>
          <w:szCs w:val="24"/>
        </w:rPr>
        <w:t>en relación con la</w:t>
      </w:r>
      <w:r w:rsidRPr="004A240B">
        <w:rPr>
          <w:rFonts w:ascii="Arial Nova Light" w:hAnsi="Arial Nova Light"/>
          <w:bCs/>
          <w:szCs w:val="24"/>
        </w:rPr>
        <w:t xml:space="preserve"> postulación de candidaturas para la integración </w:t>
      </w:r>
      <w:r w:rsidR="000B2923" w:rsidRPr="004A240B">
        <w:rPr>
          <w:rFonts w:ascii="Arial Nova Light" w:hAnsi="Arial Nova Light"/>
          <w:bCs/>
          <w:szCs w:val="24"/>
        </w:rPr>
        <w:t>de</w:t>
      </w:r>
      <w:r w:rsidRPr="004A240B">
        <w:rPr>
          <w:rFonts w:ascii="Arial Nova Light" w:hAnsi="Arial Nova Light"/>
          <w:bCs/>
          <w:szCs w:val="24"/>
        </w:rPr>
        <w:t xml:space="preserve"> </w:t>
      </w:r>
      <w:r w:rsidR="00994CFB" w:rsidRPr="004A240B">
        <w:rPr>
          <w:rFonts w:ascii="Arial Nova Light" w:hAnsi="Arial Nova Light"/>
          <w:bCs/>
          <w:szCs w:val="24"/>
        </w:rPr>
        <w:t>las diputaciones y</w:t>
      </w:r>
      <w:r w:rsidRPr="004A240B">
        <w:rPr>
          <w:rFonts w:ascii="Arial Nova Light" w:hAnsi="Arial Nova Light"/>
          <w:bCs/>
          <w:szCs w:val="24"/>
        </w:rPr>
        <w:t xml:space="preserve"> Ayuntamientos</w:t>
      </w:r>
      <w:r w:rsidR="00994CFB" w:rsidRPr="004A240B">
        <w:rPr>
          <w:rFonts w:ascii="Arial Nova Light" w:hAnsi="Arial Nova Light"/>
          <w:bCs/>
          <w:szCs w:val="24"/>
        </w:rPr>
        <w:t xml:space="preserve"> en Aguascalientes</w:t>
      </w:r>
      <w:r w:rsidRPr="004A240B">
        <w:rPr>
          <w:rFonts w:ascii="Arial Nova Light" w:hAnsi="Arial Nova Light"/>
          <w:bCs/>
          <w:szCs w:val="24"/>
        </w:rPr>
        <w:t xml:space="preserve">. </w:t>
      </w:r>
    </w:p>
    <w:p w14:paraId="5A868A5A" w14:textId="77777777" w:rsidR="009A54F1" w:rsidRPr="004A240B" w:rsidRDefault="009A54F1" w:rsidP="009A54F1">
      <w:pPr>
        <w:pStyle w:val="Estilo"/>
        <w:spacing w:line="360" w:lineRule="auto"/>
        <w:rPr>
          <w:rFonts w:ascii="Arial Nova Light" w:hAnsi="Arial Nova Light"/>
          <w:szCs w:val="24"/>
        </w:rPr>
      </w:pPr>
    </w:p>
    <w:p w14:paraId="3B57EC4E" w14:textId="6D6B13D3" w:rsidR="00497D2F" w:rsidRPr="004A240B" w:rsidRDefault="0012064C" w:rsidP="00BB4EBB">
      <w:pPr>
        <w:pStyle w:val="Estilo"/>
        <w:numPr>
          <w:ilvl w:val="0"/>
          <w:numId w:val="35"/>
        </w:numPr>
        <w:spacing w:line="360" w:lineRule="auto"/>
        <w:ind w:left="0" w:firstLine="0"/>
        <w:rPr>
          <w:rFonts w:ascii="Arial Nova Light" w:hAnsi="Arial Nova Light" w:cs="Arial"/>
          <w:b/>
          <w:bCs/>
          <w:szCs w:val="24"/>
        </w:rPr>
      </w:pPr>
      <w:bookmarkStart w:id="3" w:name="_Hlk512847505"/>
      <w:r w:rsidRPr="004A240B">
        <w:rPr>
          <w:rFonts w:ascii="Arial Nova Light" w:hAnsi="Arial Nova Light"/>
          <w:b/>
          <w:bCs/>
          <w:szCs w:val="24"/>
        </w:rPr>
        <w:t>IM</w:t>
      </w:r>
      <w:r w:rsidR="009A54F1" w:rsidRPr="004A240B">
        <w:rPr>
          <w:rFonts w:ascii="Arial Nova Light" w:hAnsi="Arial Nova Light"/>
          <w:b/>
          <w:bCs/>
          <w:szCs w:val="24"/>
        </w:rPr>
        <w:t>PROCEDENCIA</w:t>
      </w:r>
      <w:r w:rsidR="009A54F1" w:rsidRPr="004A240B">
        <w:rPr>
          <w:rFonts w:ascii="Arial Nova Light" w:hAnsi="Arial Nova Light"/>
          <w:szCs w:val="24"/>
        </w:rPr>
        <w:t xml:space="preserve">. </w:t>
      </w:r>
      <w:bookmarkEnd w:id="3"/>
      <w:r w:rsidR="00BB4EBB" w:rsidRPr="004A240B">
        <w:rPr>
          <w:rFonts w:ascii="Arial Nova Light" w:hAnsi="Arial Nova Light" w:cs="Arial"/>
          <w:bCs/>
          <w:szCs w:val="24"/>
        </w:rPr>
        <w:t xml:space="preserve">Como consideración de particular pronunciamiento, y derivado de que las causales de improcedencia deben ser analizadas </w:t>
      </w:r>
      <w:r w:rsidR="00BB4EBB" w:rsidRPr="00F6239A">
        <w:rPr>
          <w:rFonts w:ascii="Arial Nova Light" w:hAnsi="Arial Nova Light" w:cs="Arial"/>
          <w:bCs/>
          <w:szCs w:val="24"/>
        </w:rPr>
        <w:t xml:space="preserve">de </w:t>
      </w:r>
      <w:r w:rsidR="00F6239A" w:rsidRPr="00F6239A">
        <w:rPr>
          <w:rFonts w:ascii="Arial Nova Light" w:hAnsi="Arial Nova Light" w:cs="Arial"/>
          <w:bCs/>
        </w:rPr>
        <w:t>oficio</w:t>
      </w:r>
      <w:r w:rsidR="00F6239A" w:rsidRPr="00F6239A">
        <w:rPr>
          <w:rStyle w:val="Refdenotaalpie"/>
          <w:rFonts w:ascii="Arial Nova Light" w:hAnsi="Arial Nova Light" w:cs="Arial"/>
          <w:bCs/>
        </w:rPr>
        <w:footnoteReference w:id="4"/>
      </w:r>
      <w:r w:rsidR="00F6239A" w:rsidRPr="0028684B">
        <w:rPr>
          <w:rFonts w:cs="Arial"/>
          <w:bCs/>
        </w:rPr>
        <w:t xml:space="preserve"> </w:t>
      </w:r>
      <w:r w:rsidR="00BB4EBB" w:rsidRPr="004A240B">
        <w:rPr>
          <w:rFonts w:ascii="Arial Nova Light" w:hAnsi="Arial Nova Light" w:cs="Arial"/>
          <w:bCs/>
          <w:szCs w:val="24"/>
        </w:rPr>
        <w:t xml:space="preserve">esta autoridad jurisdiccional considera que el juicio objeto del presente asunto </w:t>
      </w:r>
      <w:r w:rsidR="00BB4EBB" w:rsidRPr="004A240B">
        <w:rPr>
          <w:rFonts w:ascii="Arial Nova Light" w:hAnsi="Arial Nova Light" w:cs="Arial"/>
          <w:b/>
          <w:szCs w:val="24"/>
        </w:rPr>
        <w:t>es improcedente por extemporáneo</w:t>
      </w:r>
      <w:r w:rsidR="00BB4EBB" w:rsidRPr="004A240B">
        <w:rPr>
          <w:rFonts w:ascii="Arial Nova Light" w:hAnsi="Arial Nova Light" w:cs="Arial"/>
          <w:bCs/>
          <w:szCs w:val="24"/>
        </w:rPr>
        <w:t>, conforme a las siguientes consideraciones</w:t>
      </w:r>
      <w:r w:rsidR="003338A9" w:rsidRPr="004A240B">
        <w:rPr>
          <w:rFonts w:ascii="Arial Nova Light" w:hAnsi="Arial Nova Light" w:cs="Arial"/>
          <w:bCs/>
          <w:szCs w:val="24"/>
        </w:rPr>
        <w:t>:</w:t>
      </w:r>
    </w:p>
    <w:p w14:paraId="6B9CDC67" w14:textId="77777777" w:rsidR="00BB4EBB" w:rsidRPr="004A240B" w:rsidRDefault="00BB4EBB" w:rsidP="00BB4EBB">
      <w:pPr>
        <w:pStyle w:val="Prrafodelista"/>
        <w:rPr>
          <w:rFonts w:ascii="Arial Nova Light" w:hAnsi="Arial Nova Light" w:cs="Arial"/>
          <w:b/>
          <w:bCs/>
          <w:sz w:val="24"/>
          <w:szCs w:val="24"/>
        </w:rPr>
      </w:pPr>
    </w:p>
    <w:p w14:paraId="66D8C1E2" w14:textId="3F87CE81" w:rsidR="003338A9" w:rsidRPr="004A240B" w:rsidRDefault="00555DF2" w:rsidP="003338A9">
      <w:pPr>
        <w:pStyle w:val="Estilo"/>
        <w:numPr>
          <w:ilvl w:val="0"/>
          <w:numId w:val="48"/>
        </w:numPr>
        <w:spacing w:line="360" w:lineRule="auto"/>
        <w:ind w:left="0" w:firstLine="0"/>
        <w:rPr>
          <w:rFonts w:ascii="Arial Nova Light" w:hAnsi="Arial Nova Light" w:cs="Arial"/>
          <w:b/>
          <w:bCs/>
          <w:szCs w:val="24"/>
        </w:rPr>
      </w:pPr>
      <w:r w:rsidRPr="004A240B">
        <w:rPr>
          <w:rFonts w:ascii="Arial Nova Light" w:hAnsi="Arial Nova Light" w:cs="Arial"/>
          <w:b/>
          <w:bCs/>
          <w:szCs w:val="24"/>
        </w:rPr>
        <w:t>ACTO CONTROVERTIDO</w:t>
      </w:r>
      <w:r w:rsidR="003013EF" w:rsidRPr="004A240B">
        <w:rPr>
          <w:rFonts w:ascii="Arial Nova Light" w:hAnsi="Arial Nova Light" w:cs="Arial"/>
          <w:b/>
          <w:bCs/>
          <w:szCs w:val="24"/>
        </w:rPr>
        <w:t xml:space="preserve">. </w:t>
      </w:r>
      <w:r w:rsidR="003013EF" w:rsidRPr="004A240B">
        <w:rPr>
          <w:rFonts w:ascii="Arial Nova Light" w:hAnsi="Arial Nova Light" w:cs="Arial"/>
          <w:szCs w:val="24"/>
        </w:rPr>
        <w:t xml:space="preserve">A partir del análisis del escrito de demanda presentado por los promoventes y </w:t>
      </w:r>
      <w:r w:rsidR="00C23393">
        <w:rPr>
          <w:rFonts w:ascii="Arial Nova Light" w:hAnsi="Arial Nova Light" w:cs="Arial"/>
          <w:szCs w:val="24"/>
        </w:rPr>
        <w:t>acorde con lo señalado en</w:t>
      </w:r>
      <w:r w:rsidR="003013EF" w:rsidRPr="004A240B">
        <w:rPr>
          <w:rFonts w:ascii="Arial Nova Light" w:hAnsi="Arial Nova Light" w:cs="Arial"/>
          <w:szCs w:val="24"/>
        </w:rPr>
        <w:t xml:space="preserve"> el </w:t>
      </w:r>
      <w:r w:rsidR="00C23393" w:rsidRPr="00C23393">
        <w:rPr>
          <w:rFonts w:ascii="Arial Nova Light" w:hAnsi="Arial Nova Light" w:cs="Arial"/>
          <w:b/>
          <w:bCs/>
          <w:szCs w:val="24"/>
        </w:rPr>
        <w:t>ACUERDO DE IMPROCEDENCIA Y REENCAUZAMIENTO</w:t>
      </w:r>
      <w:r w:rsidR="00C23393" w:rsidRPr="004A240B">
        <w:rPr>
          <w:rFonts w:ascii="Arial Nova Light" w:hAnsi="Arial Nova Light" w:cs="Arial"/>
          <w:szCs w:val="24"/>
        </w:rPr>
        <w:t xml:space="preserve"> </w:t>
      </w:r>
      <w:r w:rsidR="003013EF" w:rsidRPr="004A240B">
        <w:rPr>
          <w:rFonts w:ascii="Arial Nova Light" w:hAnsi="Arial Nova Light" w:cs="Arial"/>
          <w:szCs w:val="24"/>
        </w:rPr>
        <w:t>dictado por la Sala Monterrey</w:t>
      </w:r>
      <w:r w:rsidR="00C23393">
        <w:rPr>
          <w:rFonts w:ascii="Arial Nova Light" w:hAnsi="Arial Nova Light" w:cs="Arial"/>
          <w:szCs w:val="24"/>
        </w:rPr>
        <w:t xml:space="preserve"> dentro del expediente SM-JDC-</w:t>
      </w:r>
      <w:r w:rsidR="00381E97">
        <w:rPr>
          <w:rFonts w:ascii="Arial Nova Light" w:hAnsi="Arial Nova Light" w:cs="Arial"/>
          <w:szCs w:val="24"/>
        </w:rPr>
        <w:t>310/2021</w:t>
      </w:r>
      <w:r w:rsidR="003013EF" w:rsidRPr="004A240B">
        <w:rPr>
          <w:rFonts w:ascii="Arial Nova Light" w:hAnsi="Arial Nova Light" w:cs="Arial"/>
          <w:szCs w:val="24"/>
        </w:rPr>
        <w:t xml:space="preserve">, </w:t>
      </w:r>
      <w:r w:rsidR="007D0EA1" w:rsidRPr="004A240B">
        <w:rPr>
          <w:rFonts w:ascii="Arial Nova Light" w:hAnsi="Arial Nova Light" w:cs="Arial"/>
          <w:szCs w:val="24"/>
        </w:rPr>
        <w:t xml:space="preserve">se advierte que los promoventes, </w:t>
      </w:r>
      <w:r w:rsidR="007D0EA1" w:rsidRPr="004A240B">
        <w:rPr>
          <w:rFonts w:ascii="Arial Nova Light" w:hAnsi="Arial Nova Light" w:cs="Arial"/>
          <w:i/>
          <w:iCs/>
          <w:szCs w:val="24"/>
        </w:rPr>
        <w:t>aspirantes a candidaturas de regidurías de representación proporcional por MORENA por el Ayuntamiento de Aguascalientes</w:t>
      </w:r>
      <w:r w:rsidR="007D0EA1" w:rsidRPr="004A240B">
        <w:rPr>
          <w:rFonts w:ascii="Arial Nova Light" w:hAnsi="Arial Nova Light" w:cs="Arial"/>
          <w:szCs w:val="24"/>
        </w:rPr>
        <w:t xml:space="preserve">, </w:t>
      </w:r>
      <w:r w:rsidR="003338A9" w:rsidRPr="004A240B">
        <w:rPr>
          <w:rFonts w:ascii="Arial Nova Light" w:hAnsi="Arial Nova Light" w:cs="Arial"/>
          <w:szCs w:val="24"/>
        </w:rPr>
        <w:t>controvierten la resolución emitida</w:t>
      </w:r>
      <w:r w:rsidR="0000703E">
        <w:rPr>
          <w:rFonts w:ascii="Arial Nova Light" w:hAnsi="Arial Nova Light" w:cs="Arial"/>
          <w:szCs w:val="24"/>
        </w:rPr>
        <w:t>,</w:t>
      </w:r>
      <w:r w:rsidR="003338A9" w:rsidRPr="004A240B">
        <w:rPr>
          <w:rFonts w:ascii="Arial Nova Light" w:hAnsi="Arial Nova Light" w:cs="Arial"/>
          <w:szCs w:val="24"/>
        </w:rPr>
        <w:t xml:space="preserve"> por la CNHJ de MORENA en el expediente </w:t>
      </w:r>
      <w:r w:rsidR="003338A9" w:rsidRPr="004A240B">
        <w:rPr>
          <w:rFonts w:ascii="Arial Nova Light" w:hAnsi="Arial Nova Light" w:cs="Arial"/>
          <w:b/>
          <w:bCs/>
          <w:szCs w:val="24"/>
        </w:rPr>
        <w:t>CNHJ-AGS-643/2021.</w:t>
      </w:r>
      <w:r w:rsidR="003338A9" w:rsidRPr="004A240B">
        <w:rPr>
          <w:rFonts w:ascii="Arial Nova Light" w:hAnsi="Arial Nova Light" w:cs="Arial"/>
          <w:szCs w:val="24"/>
        </w:rPr>
        <w:t xml:space="preserve"> </w:t>
      </w:r>
    </w:p>
    <w:p w14:paraId="17D777EE" w14:textId="402093EB" w:rsidR="003338A9" w:rsidRPr="004A240B" w:rsidRDefault="003338A9" w:rsidP="003338A9">
      <w:pPr>
        <w:pStyle w:val="Estilo"/>
        <w:spacing w:line="360" w:lineRule="auto"/>
        <w:rPr>
          <w:rFonts w:ascii="Arial Nova Light" w:hAnsi="Arial Nova Light" w:cs="Arial"/>
          <w:b/>
          <w:bCs/>
          <w:szCs w:val="24"/>
        </w:rPr>
      </w:pPr>
    </w:p>
    <w:p w14:paraId="3CD76986" w14:textId="68030FC7" w:rsidR="003338A9" w:rsidRPr="004A240B" w:rsidRDefault="003338A9" w:rsidP="003338A9">
      <w:pPr>
        <w:pStyle w:val="Estilo"/>
        <w:spacing w:line="360" w:lineRule="auto"/>
        <w:rPr>
          <w:rFonts w:ascii="Arial Nova Light" w:hAnsi="Arial Nova Light" w:cs="Arial"/>
          <w:szCs w:val="24"/>
        </w:rPr>
      </w:pPr>
      <w:r w:rsidRPr="004A240B">
        <w:rPr>
          <w:rFonts w:ascii="Arial Nova Light" w:hAnsi="Arial Nova Light" w:cs="Arial"/>
          <w:szCs w:val="24"/>
        </w:rPr>
        <w:t xml:space="preserve">Al respecto, </w:t>
      </w:r>
      <w:r w:rsidR="00CC3312" w:rsidRPr="004A240B">
        <w:rPr>
          <w:rFonts w:ascii="Arial Nova Light" w:hAnsi="Arial Nova Light" w:cs="Arial"/>
          <w:szCs w:val="24"/>
        </w:rPr>
        <w:t xml:space="preserve">debe precisarse que la resolución combatida, fue dictada el día </w:t>
      </w:r>
      <w:r w:rsidR="00CC3312" w:rsidRPr="0000703E">
        <w:rPr>
          <w:rFonts w:ascii="Arial Nova Light" w:hAnsi="Arial Nova Light" w:cs="Arial"/>
          <w:b/>
          <w:bCs/>
          <w:szCs w:val="24"/>
        </w:rPr>
        <w:t>diecinueve de abril</w:t>
      </w:r>
      <w:r w:rsidR="00CC3312" w:rsidRPr="004A240B">
        <w:rPr>
          <w:rFonts w:ascii="Arial Nova Light" w:hAnsi="Arial Nova Light" w:cs="Arial"/>
          <w:szCs w:val="24"/>
        </w:rPr>
        <w:t xml:space="preserve"> y publicada en estrados el día </w:t>
      </w:r>
      <w:r w:rsidR="0000703E">
        <w:rPr>
          <w:rFonts w:ascii="Arial Nova Light" w:hAnsi="Arial Nova Light" w:cs="Arial"/>
          <w:szCs w:val="24"/>
        </w:rPr>
        <w:t>veintiuno</w:t>
      </w:r>
      <w:r w:rsidR="00CC3312" w:rsidRPr="004A240B">
        <w:rPr>
          <w:rFonts w:ascii="Arial Nova Light" w:hAnsi="Arial Nova Light" w:cs="Arial"/>
          <w:szCs w:val="24"/>
        </w:rPr>
        <w:t xml:space="preserve"> del mismo mes. </w:t>
      </w:r>
    </w:p>
    <w:p w14:paraId="70655732" w14:textId="7ACF1C49" w:rsidR="00CC3312" w:rsidRPr="004A240B" w:rsidRDefault="00CC3312" w:rsidP="003338A9">
      <w:pPr>
        <w:pStyle w:val="Estilo"/>
        <w:spacing w:line="360" w:lineRule="auto"/>
        <w:rPr>
          <w:rFonts w:ascii="Arial Nova Light" w:hAnsi="Arial Nova Light" w:cs="Arial"/>
          <w:szCs w:val="24"/>
        </w:rPr>
      </w:pPr>
    </w:p>
    <w:p w14:paraId="2A8D3F26" w14:textId="7AFB380F" w:rsidR="00555DF2" w:rsidRPr="004A240B" w:rsidRDefault="00555DF2" w:rsidP="00555DF2">
      <w:pPr>
        <w:pStyle w:val="Estilo"/>
        <w:numPr>
          <w:ilvl w:val="0"/>
          <w:numId w:val="48"/>
        </w:numPr>
        <w:spacing w:line="360" w:lineRule="auto"/>
        <w:ind w:left="0" w:firstLine="0"/>
        <w:rPr>
          <w:rFonts w:ascii="Arial Nova Light" w:hAnsi="Arial Nova Light"/>
          <w:szCs w:val="24"/>
        </w:rPr>
      </w:pPr>
      <w:r w:rsidRPr="004A240B">
        <w:rPr>
          <w:rFonts w:ascii="Arial Nova Light" w:hAnsi="Arial Nova Light"/>
          <w:b/>
          <w:szCs w:val="24"/>
        </w:rPr>
        <w:t xml:space="preserve">MARCO NORMATIVO.   </w:t>
      </w:r>
      <w:r w:rsidRPr="004A240B">
        <w:rPr>
          <w:rFonts w:ascii="Arial Nova Light" w:hAnsi="Arial Nova Light"/>
          <w:b/>
          <w:bCs/>
          <w:szCs w:val="24"/>
        </w:rPr>
        <w:t xml:space="preserve">Del proceso de selección de candidaturas de MORENA. </w:t>
      </w:r>
      <w:r w:rsidRPr="004A240B">
        <w:rPr>
          <w:rFonts w:ascii="Arial Nova Light" w:hAnsi="Arial Nova Light"/>
          <w:szCs w:val="24"/>
        </w:rPr>
        <w:t>De conformidad con los artículos 5, párrafo segundo, 34 numeral 2, inciso d y 47, párrafo 2, de la Ley General de Partidos Políticos, y de conformidad con el criterio reiterado de las Salas Regionales del Tribunal Electoral de Poder Judicial de la Federación, han establecido que, los partidos cuentan con una facultad discrecional para elegir sus candidaturas, siempre que no se torne arbitraria, esto es, se funde y motive en tanto se deriva de su propia normativa para hacer frente a eventualidades.</w:t>
      </w:r>
    </w:p>
    <w:p w14:paraId="12A29B40" w14:textId="77777777" w:rsidR="00555DF2" w:rsidRPr="004A240B" w:rsidRDefault="00555DF2" w:rsidP="00555DF2">
      <w:pPr>
        <w:pStyle w:val="Estilo"/>
        <w:spacing w:line="360" w:lineRule="auto"/>
        <w:rPr>
          <w:rFonts w:ascii="Arial Nova Light" w:hAnsi="Arial Nova Light"/>
          <w:szCs w:val="24"/>
        </w:rPr>
      </w:pPr>
    </w:p>
    <w:p w14:paraId="07BC4E0E" w14:textId="77777777" w:rsidR="00555DF2" w:rsidRPr="004A240B" w:rsidRDefault="00555DF2" w:rsidP="00555DF2">
      <w:pPr>
        <w:spacing w:line="360" w:lineRule="auto"/>
        <w:jc w:val="both"/>
        <w:rPr>
          <w:rFonts w:ascii="Arial Nova Light" w:hAnsi="Arial Nova Light"/>
          <w:sz w:val="24"/>
          <w:szCs w:val="24"/>
        </w:rPr>
      </w:pPr>
      <w:r w:rsidRPr="004A240B">
        <w:rPr>
          <w:rFonts w:ascii="Arial Nova Light" w:hAnsi="Arial Nova Light"/>
          <w:sz w:val="24"/>
          <w:szCs w:val="24"/>
        </w:rPr>
        <w:t xml:space="preserve">Por su parte, el artículo 46, inciso c y d del Estatuto de MORENA, establece que la Comisión De Elecciones cuenta con atribuciones para analizar la documentación presentada por los aspirantes para verificar el cumplimiento de los requisitos de ley, así como valorar y calificar los </w:t>
      </w:r>
      <w:r w:rsidRPr="004A240B">
        <w:rPr>
          <w:rFonts w:ascii="Arial Nova Light" w:hAnsi="Arial Nova Light"/>
          <w:sz w:val="24"/>
          <w:szCs w:val="24"/>
        </w:rPr>
        <w:lastRenderedPageBreak/>
        <w:t>perfiles de los aspirantes a las candidaturas externas, de conformidad con lo dispuesto en los requisitos establecidos en la convocatoria y de acuerdo con los intereses del propio partido.</w:t>
      </w:r>
    </w:p>
    <w:p w14:paraId="5E0B19DE" w14:textId="77777777" w:rsidR="00555DF2" w:rsidRPr="004A240B" w:rsidRDefault="00555DF2" w:rsidP="00555DF2">
      <w:pPr>
        <w:spacing w:line="360" w:lineRule="auto"/>
        <w:jc w:val="both"/>
        <w:rPr>
          <w:rFonts w:ascii="Arial Nova Light" w:hAnsi="Arial Nova Light"/>
          <w:sz w:val="24"/>
          <w:szCs w:val="24"/>
        </w:rPr>
      </w:pPr>
      <w:r w:rsidRPr="004A240B">
        <w:rPr>
          <w:rFonts w:ascii="Arial Nova Light" w:hAnsi="Arial Nova Light"/>
          <w:sz w:val="24"/>
          <w:szCs w:val="24"/>
        </w:rPr>
        <w:t xml:space="preserve">Así mismo, dicha atribución se trata de una facultad discrecional establecida en el propio artículo 46, inciso d, del Estatuto. </w:t>
      </w:r>
    </w:p>
    <w:p w14:paraId="6AEC4EFC" w14:textId="77777777" w:rsidR="00555DF2" w:rsidRPr="004A240B" w:rsidRDefault="00555DF2" w:rsidP="00555DF2">
      <w:pPr>
        <w:spacing w:line="360" w:lineRule="auto"/>
        <w:jc w:val="both"/>
        <w:rPr>
          <w:rFonts w:ascii="Arial Nova Light" w:hAnsi="Arial Nova Light"/>
          <w:sz w:val="24"/>
          <w:szCs w:val="24"/>
        </w:rPr>
      </w:pPr>
      <w:r w:rsidRPr="004A240B">
        <w:rPr>
          <w:rFonts w:ascii="Arial Nova Light" w:hAnsi="Arial Nova Light"/>
          <w:sz w:val="24"/>
          <w:szCs w:val="24"/>
        </w:rPr>
        <w:t>Por otro lado, los artículos 44, inciso w, y 46, del Estatuto, señalan que la Comisión de Elecciones, tiene facultades para seleccionar a los aspirantes que pudieran contender por una candidatura a un cargo de elección popular, y, por ende, tal determinación se encuentra debidamente fundamentada en estricta observancia a los preceptos legales y estatutarios.</w:t>
      </w:r>
    </w:p>
    <w:p w14:paraId="069F04A0" w14:textId="032AAD36" w:rsidR="00555DF2" w:rsidRPr="004A240B" w:rsidRDefault="00555DF2" w:rsidP="00555DF2">
      <w:pPr>
        <w:spacing w:line="360" w:lineRule="auto"/>
        <w:jc w:val="both"/>
        <w:rPr>
          <w:rFonts w:ascii="Arial Nova Light" w:hAnsi="Arial Nova Light"/>
          <w:sz w:val="24"/>
          <w:szCs w:val="24"/>
        </w:rPr>
      </w:pPr>
      <w:r w:rsidRPr="004A240B">
        <w:rPr>
          <w:rFonts w:ascii="Arial Nova Light" w:hAnsi="Arial Nova Light"/>
          <w:sz w:val="24"/>
          <w:szCs w:val="24"/>
        </w:rPr>
        <w:t>El artículo 46, inciso d, del propio Estatuto concede tal atribución a la Comisión De Elecciones, con el propósito de que el partido político pueda cumplir sus finalidades constitucionales y legales, como es, que por su conducto los ciudadanos accedan a los cargos públicos.</w:t>
      </w:r>
    </w:p>
    <w:p w14:paraId="1743A49F" w14:textId="76CF7E66" w:rsidR="00555DF2" w:rsidRDefault="00555DF2" w:rsidP="00DF1B4B">
      <w:pPr>
        <w:spacing w:line="360" w:lineRule="auto"/>
        <w:jc w:val="both"/>
        <w:rPr>
          <w:rFonts w:ascii="Arial Nova Light" w:hAnsi="Arial Nova Light"/>
          <w:sz w:val="24"/>
          <w:szCs w:val="24"/>
        </w:rPr>
      </w:pPr>
      <w:r w:rsidRPr="00E0532F">
        <w:rPr>
          <w:rFonts w:ascii="Arial Nova Light" w:hAnsi="Arial Nova Light"/>
          <w:b/>
          <w:bCs/>
          <w:sz w:val="24"/>
          <w:szCs w:val="24"/>
          <w:u w:val="single"/>
        </w:rPr>
        <w:t>De las notificaciones</w:t>
      </w:r>
      <w:r w:rsidRPr="004A240B">
        <w:rPr>
          <w:rFonts w:ascii="Arial Nova Light" w:hAnsi="Arial Nova Light"/>
          <w:b/>
          <w:bCs/>
          <w:sz w:val="24"/>
          <w:szCs w:val="24"/>
        </w:rPr>
        <w:t xml:space="preserve">. </w:t>
      </w:r>
      <w:r w:rsidR="00DF1B4B" w:rsidRPr="004A240B">
        <w:rPr>
          <w:rFonts w:ascii="Arial Nova Light" w:hAnsi="Arial Nova Light"/>
          <w:sz w:val="24"/>
          <w:szCs w:val="24"/>
        </w:rPr>
        <w:t>En cuanto a las resoluciones que emita la CNHJ, su propio reglamento establece en el artículo 11 que las notificaciones que se lleven a cabo por los medios señalados en el Artículo 12 del presente Reglamento, surtirán efectos el mismo día en que se practiquen y los términos correrán a partir del día siguiente.</w:t>
      </w:r>
    </w:p>
    <w:p w14:paraId="1130FA0E" w14:textId="38D56F0F" w:rsidR="00E0532F" w:rsidRPr="004A240B" w:rsidRDefault="00E0532F" w:rsidP="00DF1B4B">
      <w:pPr>
        <w:spacing w:line="360" w:lineRule="auto"/>
        <w:jc w:val="both"/>
        <w:rPr>
          <w:rFonts w:ascii="Arial Nova Light" w:hAnsi="Arial Nova Light"/>
          <w:sz w:val="24"/>
          <w:szCs w:val="24"/>
        </w:rPr>
      </w:pPr>
      <w:r>
        <w:rPr>
          <w:rFonts w:ascii="Arial Nova Light" w:hAnsi="Arial Nova Light"/>
          <w:sz w:val="24"/>
          <w:szCs w:val="24"/>
        </w:rPr>
        <w:t xml:space="preserve">El mismo articulado, establece que las resoluciones deben ser notificadas por estrados en un plazo no mayor a dos días posteriores a su dictado. </w:t>
      </w:r>
    </w:p>
    <w:p w14:paraId="649A7C97" w14:textId="45660B62" w:rsidR="00DF1B4B" w:rsidRPr="004A240B" w:rsidRDefault="00DF1B4B" w:rsidP="00DF1B4B">
      <w:pPr>
        <w:spacing w:line="360" w:lineRule="auto"/>
        <w:jc w:val="both"/>
        <w:rPr>
          <w:rFonts w:ascii="Arial Nova Light" w:hAnsi="Arial Nova Light"/>
          <w:sz w:val="24"/>
          <w:szCs w:val="24"/>
        </w:rPr>
      </w:pPr>
      <w:r w:rsidRPr="004A240B">
        <w:rPr>
          <w:rFonts w:ascii="Arial Nova Light" w:hAnsi="Arial Nova Light"/>
          <w:sz w:val="24"/>
          <w:szCs w:val="24"/>
        </w:rPr>
        <w:t xml:space="preserve">Por su parte, el artículo 12, establece que las notificaciones se practicarán por </w:t>
      </w:r>
      <w:r w:rsidRPr="00E0532F">
        <w:rPr>
          <w:rFonts w:ascii="Arial Nova Light" w:hAnsi="Arial Nova Light"/>
          <w:b/>
          <w:bCs/>
          <w:sz w:val="24"/>
          <w:szCs w:val="24"/>
        </w:rPr>
        <w:t>estrados</w:t>
      </w:r>
      <w:r w:rsidR="00480FA8" w:rsidRPr="004A240B">
        <w:rPr>
          <w:rFonts w:ascii="Arial Nova Light" w:hAnsi="Arial Nova Light"/>
          <w:sz w:val="24"/>
          <w:szCs w:val="24"/>
        </w:rPr>
        <w:t xml:space="preserve">, máxime cuando los promoventes señalen domicilio fuera de la Ciudad de México. </w:t>
      </w:r>
    </w:p>
    <w:p w14:paraId="767D17EC" w14:textId="3E441B20" w:rsidR="00CC3312" w:rsidRPr="004A240B" w:rsidRDefault="00CC3312" w:rsidP="00480FA8">
      <w:pPr>
        <w:pStyle w:val="Estilo"/>
        <w:spacing w:line="360" w:lineRule="auto"/>
        <w:rPr>
          <w:rFonts w:ascii="Arial Nova Light" w:hAnsi="Arial Nova Light" w:cs="Arial"/>
          <w:szCs w:val="24"/>
        </w:rPr>
      </w:pPr>
    </w:p>
    <w:p w14:paraId="30E02C93" w14:textId="77777777" w:rsidR="007F5D45" w:rsidRPr="004A240B" w:rsidRDefault="00DB0CEF" w:rsidP="00DB0CEF">
      <w:pPr>
        <w:pStyle w:val="NormalWeb"/>
        <w:numPr>
          <w:ilvl w:val="0"/>
          <w:numId w:val="48"/>
        </w:numPr>
        <w:tabs>
          <w:tab w:val="left" w:pos="0"/>
          <w:tab w:val="left" w:pos="142"/>
          <w:tab w:val="left" w:pos="284"/>
        </w:tabs>
        <w:spacing w:before="0" w:beforeAutospacing="0" w:after="0" w:afterAutospacing="0" w:line="360" w:lineRule="auto"/>
        <w:ind w:left="0" w:firstLine="0"/>
        <w:contextualSpacing/>
        <w:mirrorIndents/>
        <w:jc w:val="both"/>
        <w:rPr>
          <w:rFonts w:ascii="Arial Nova Light" w:eastAsiaTheme="minorHAnsi" w:hAnsi="Arial Nova Light" w:cs="Arial"/>
          <w:b/>
          <w:bCs/>
          <w:lang w:eastAsia="en-US"/>
        </w:rPr>
      </w:pPr>
      <w:r w:rsidRPr="004A240B">
        <w:rPr>
          <w:rFonts w:ascii="Arial Nova Light" w:hAnsi="Arial Nova Light" w:cs="Arial"/>
          <w:b/>
          <w:bCs/>
        </w:rPr>
        <w:t xml:space="preserve">CASO CONCRETO. </w:t>
      </w:r>
      <w:r w:rsidR="007F5D45" w:rsidRPr="004A240B">
        <w:rPr>
          <w:rFonts w:ascii="Arial Nova Light" w:hAnsi="Arial Nova Light" w:cs="Arial"/>
          <w:b/>
          <w:bCs/>
        </w:rPr>
        <w:t xml:space="preserve"> </w:t>
      </w:r>
      <w:r w:rsidR="007F5D45" w:rsidRPr="004A240B">
        <w:rPr>
          <w:rFonts w:ascii="Arial Nova Light" w:hAnsi="Arial Nova Light" w:cs="Arial"/>
        </w:rPr>
        <w:t xml:space="preserve">En el caso, como ya fue precisado, los promoventes se duelen de la resolución emitida por la CNHJ en fecha </w:t>
      </w:r>
      <w:r w:rsidR="007F5D45" w:rsidRPr="002D15BD">
        <w:rPr>
          <w:rFonts w:ascii="Arial Nova Light" w:hAnsi="Arial Nova Light" w:cs="Arial"/>
          <w:b/>
          <w:bCs/>
        </w:rPr>
        <w:t>diecinueve de abril</w:t>
      </w:r>
      <w:r w:rsidR="007F5D45" w:rsidRPr="004A240B">
        <w:rPr>
          <w:rFonts w:ascii="Arial Nova Light" w:hAnsi="Arial Nova Light" w:cs="Arial"/>
        </w:rPr>
        <w:t xml:space="preserve">. </w:t>
      </w:r>
    </w:p>
    <w:p w14:paraId="56C37AEC" w14:textId="77777777" w:rsidR="007F5D45" w:rsidRPr="004A240B" w:rsidRDefault="007F5D45" w:rsidP="007F5D45">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b/>
          <w:bCs/>
        </w:rPr>
      </w:pPr>
    </w:p>
    <w:p w14:paraId="4B2A42BD" w14:textId="7C7AD67F" w:rsidR="00DB0CEF" w:rsidRPr="004A240B" w:rsidRDefault="007F5D45" w:rsidP="007F5D45">
      <w:pPr>
        <w:pStyle w:val="NormalWeb"/>
        <w:tabs>
          <w:tab w:val="left" w:pos="0"/>
          <w:tab w:val="left" w:pos="142"/>
          <w:tab w:val="left" w:pos="284"/>
        </w:tabs>
        <w:spacing w:before="0" w:beforeAutospacing="0" w:after="0" w:afterAutospacing="0" w:line="360" w:lineRule="auto"/>
        <w:contextualSpacing/>
        <w:mirrorIndents/>
        <w:jc w:val="both"/>
        <w:rPr>
          <w:rFonts w:ascii="Arial Nova Light" w:eastAsiaTheme="minorHAnsi" w:hAnsi="Arial Nova Light" w:cs="Arial"/>
          <w:b/>
          <w:bCs/>
          <w:lang w:eastAsia="en-US"/>
        </w:rPr>
      </w:pPr>
      <w:r w:rsidRPr="004A240B">
        <w:rPr>
          <w:rFonts w:ascii="Arial Nova Light" w:hAnsi="Arial Nova Light" w:cs="Arial"/>
        </w:rPr>
        <w:t>Al respecto, t</w:t>
      </w:r>
      <w:r w:rsidR="00DB0CEF" w:rsidRPr="004A240B">
        <w:rPr>
          <w:rFonts w:ascii="Arial Nova Light" w:eastAsiaTheme="minorHAnsi" w:hAnsi="Arial Nova Light" w:cs="Arial"/>
          <w:lang w:eastAsia="en-US"/>
        </w:rPr>
        <w:t>anto la Ley General del Sistema de Medios de Impugnación en Materia Electoral,</w:t>
      </w:r>
      <w:r w:rsidR="00DB0CEF" w:rsidRPr="004A240B">
        <w:rPr>
          <w:rStyle w:val="Refdenotaalpie"/>
          <w:rFonts w:ascii="Arial Nova Light" w:eastAsiaTheme="minorHAnsi" w:hAnsi="Arial Nova Light" w:cs="Arial"/>
          <w:lang w:eastAsia="en-US"/>
        </w:rPr>
        <w:footnoteReference w:id="5"/>
      </w:r>
      <w:r w:rsidR="00DB0CEF" w:rsidRPr="004A240B">
        <w:rPr>
          <w:rFonts w:ascii="Arial Nova Light" w:eastAsiaTheme="minorHAnsi" w:hAnsi="Arial Nova Light" w:cs="Arial"/>
          <w:lang w:eastAsia="en-US"/>
        </w:rPr>
        <w:t xml:space="preserve"> el Código Electoral</w:t>
      </w:r>
      <w:r w:rsidR="00DB0CEF" w:rsidRPr="004A240B">
        <w:rPr>
          <w:rStyle w:val="Refdenotaalpie"/>
          <w:rFonts w:ascii="Arial Nova Light" w:eastAsiaTheme="minorHAnsi" w:hAnsi="Arial Nova Light" w:cs="Arial"/>
          <w:lang w:eastAsia="en-US"/>
        </w:rPr>
        <w:footnoteReference w:id="6"/>
      </w:r>
      <w:r w:rsidR="00DB0CEF" w:rsidRPr="004A240B">
        <w:rPr>
          <w:rFonts w:ascii="Arial Nova Light" w:eastAsiaTheme="minorHAnsi" w:hAnsi="Arial Nova Light" w:cs="Arial"/>
          <w:lang w:eastAsia="en-US"/>
        </w:rPr>
        <w:t>, como el Reglamento Interior</w:t>
      </w:r>
      <w:r w:rsidR="00DB0CEF" w:rsidRPr="004A240B">
        <w:rPr>
          <w:rStyle w:val="Refdenotaalpie"/>
          <w:rFonts w:ascii="Arial Nova Light" w:eastAsiaTheme="minorHAnsi" w:hAnsi="Arial Nova Light" w:cs="Arial"/>
          <w:lang w:eastAsia="en-US"/>
        </w:rPr>
        <w:footnoteReference w:id="7"/>
      </w:r>
      <w:r w:rsidR="00DB0CEF" w:rsidRPr="004A240B">
        <w:rPr>
          <w:rFonts w:ascii="Arial Nova Light" w:eastAsiaTheme="minorHAnsi" w:hAnsi="Arial Nova Light" w:cs="Arial"/>
          <w:lang w:eastAsia="en-US"/>
        </w:rPr>
        <w:t xml:space="preserve">, señalan que </w:t>
      </w:r>
      <w:r w:rsidR="00DB0CEF" w:rsidRPr="004A240B">
        <w:rPr>
          <w:rFonts w:ascii="Arial Nova Light" w:eastAsiaTheme="minorHAnsi" w:hAnsi="Arial Nova Light" w:cs="Arial"/>
          <w:b/>
          <w:bCs/>
          <w:lang w:eastAsia="en-US"/>
        </w:rPr>
        <w:t>los medios de impugnación deberán presentarse dentro del término previsto, contados a partir de la notificación o el momento en que se tenga conocimiento del acto o resolución impugnado.</w:t>
      </w:r>
    </w:p>
    <w:p w14:paraId="2F4F3736" w14:textId="77777777" w:rsidR="00DB0CEF" w:rsidRPr="004A240B" w:rsidRDefault="00DB0CEF" w:rsidP="00DB0CEF">
      <w:pPr>
        <w:pStyle w:val="NormalWeb"/>
        <w:tabs>
          <w:tab w:val="left" w:pos="0"/>
          <w:tab w:val="left" w:pos="142"/>
          <w:tab w:val="left" w:pos="284"/>
        </w:tabs>
        <w:spacing w:before="0" w:beforeAutospacing="0" w:after="0" w:afterAutospacing="0" w:line="360" w:lineRule="auto"/>
        <w:contextualSpacing/>
        <w:mirrorIndents/>
        <w:jc w:val="both"/>
        <w:rPr>
          <w:rFonts w:ascii="Arial Nova Light" w:eastAsiaTheme="minorHAnsi" w:hAnsi="Arial Nova Light" w:cs="Arial"/>
          <w:lang w:eastAsia="en-US"/>
        </w:rPr>
      </w:pPr>
    </w:p>
    <w:p w14:paraId="0D05D156" w14:textId="77777777" w:rsidR="00DB0CEF" w:rsidRPr="004A240B" w:rsidRDefault="00DB0CEF" w:rsidP="00DB0CEF">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4A240B">
        <w:rPr>
          <w:rFonts w:ascii="Arial Nova Light" w:hAnsi="Arial Nova Light" w:cs="Arial"/>
        </w:rPr>
        <w:t xml:space="preserve">A su vez, los Lineamientos, en el artículo 3°, establecen que, para la interposición del Juicio, los términos y plazos serán los previstos en el Código Electoral y el Reglamento Interior del Tribunal, es decir, </w:t>
      </w:r>
      <w:r w:rsidRPr="004A240B">
        <w:rPr>
          <w:rFonts w:ascii="Arial Nova Light" w:hAnsi="Arial Nova Light" w:cs="Arial"/>
          <w:b/>
          <w:bCs/>
        </w:rPr>
        <w:t>cuatro días.</w:t>
      </w:r>
    </w:p>
    <w:p w14:paraId="333C84FE" w14:textId="77777777" w:rsidR="00DB0CEF" w:rsidRPr="004A240B"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2CDBB437" w14:textId="4E9EBD56" w:rsidR="00B01B31" w:rsidRPr="004A240B"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r w:rsidRPr="004A240B">
        <w:rPr>
          <w:rFonts w:ascii="Arial Nova Light" w:eastAsiaTheme="minorHAnsi" w:hAnsi="Arial Nova Light" w:cs="Arial"/>
          <w:sz w:val="24"/>
          <w:szCs w:val="24"/>
          <w:lang w:eastAsia="en-US"/>
        </w:rPr>
        <w:lastRenderedPageBreak/>
        <w:t xml:space="preserve">En el caso concreto, tal y como se advierte en autos, </w:t>
      </w:r>
      <w:r w:rsidR="00B01B31" w:rsidRPr="004A240B">
        <w:rPr>
          <w:rFonts w:ascii="Arial Nova Light" w:eastAsiaTheme="minorHAnsi" w:hAnsi="Arial Nova Light" w:cs="Arial"/>
          <w:sz w:val="24"/>
          <w:szCs w:val="24"/>
          <w:lang w:eastAsia="en-US"/>
        </w:rPr>
        <w:t xml:space="preserve">la autoridad responsable emitió el acto combatido el </w:t>
      </w:r>
      <w:r w:rsidR="00B01B31" w:rsidRPr="002D15BD">
        <w:rPr>
          <w:rFonts w:ascii="Arial Nova Light" w:eastAsiaTheme="minorHAnsi" w:hAnsi="Arial Nova Light" w:cs="Arial"/>
          <w:b/>
          <w:bCs/>
          <w:sz w:val="24"/>
          <w:szCs w:val="24"/>
          <w:lang w:eastAsia="en-US"/>
        </w:rPr>
        <w:t>día diecinueve de abril</w:t>
      </w:r>
      <w:r w:rsidR="00B01B31" w:rsidRPr="004A240B">
        <w:rPr>
          <w:rFonts w:ascii="Arial Nova Light" w:eastAsiaTheme="minorHAnsi" w:hAnsi="Arial Nova Light" w:cs="Arial"/>
          <w:sz w:val="24"/>
          <w:szCs w:val="24"/>
          <w:lang w:eastAsia="en-US"/>
        </w:rPr>
        <w:t xml:space="preserve">, publicándolo debidamente en estrados </w:t>
      </w:r>
      <w:r w:rsidR="002D15BD">
        <w:rPr>
          <w:rFonts w:ascii="Arial Nova Light" w:eastAsiaTheme="minorHAnsi" w:hAnsi="Arial Nova Light" w:cs="Arial"/>
          <w:sz w:val="24"/>
          <w:szCs w:val="24"/>
          <w:lang w:eastAsia="en-US"/>
        </w:rPr>
        <w:t>el día veintiuno, según obra en las constancias remitidas por la CNHJ, en cumplimiento a lo ordenado en el diverso TEEA-JDC-92/2021</w:t>
      </w:r>
      <w:r w:rsidR="004746B9">
        <w:rPr>
          <w:rStyle w:val="Refdenotaalpie"/>
          <w:rFonts w:ascii="Arial Nova Light" w:eastAsiaTheme="minorHAnsi" w:hAnsi="Arial Nova Light" w:cs="Arial"/>
          <w:sz w:val="24"/>
          <w:szCs w:val="24"/>
          <w:lang w:eastAsia="en-US"/>
        </w:rPr>
        <w:footnoteReference w:id="8"/>
      </w:r>
      <w:r w:rsidR="002D15BD">
        <w:rPr>
          <w:rFonts w:ascii="Arial Nova Light" w:eastAsiaTheme="minorHAnsi" w:hAnsi="Arial Nova Light" w:cs="Arial"/>
          <w:sz w:val="24"/>
          <w:szCs w:val="24"/>
          <w:lang w:eastAsia="en-US"/>
        </w:rPr>
        <w:t xml:space="preserve">, en donde </w:t>
      </w:r>
      <w:r w:rsidR="00610D6D">
        <w:rPr>
          <w:rFonts w:ascii="Arial Nova Light" w:eastAsiaTheme="minorHAnsi" w:hAnsi="Arial Nova Light" w:cs="Arial"/>
          <w:sz w:val="24"/>
          <w:szCs w:val="24"/>
          <w:lang w:eastAsia="en-US"/>
        </w:rPr>
        <w:t>hizo del conocimiento de este pleno el dictado y la notificación de la resolución que ahora se combate</w:t>
      </w:r>
      <w:r w:rsidR="005B66C5" w:rsidRPr="004A240B">
        <w:rPr>
          <w:rFonts w:ascii="Arial Nova Light" w:eastAsiaTheme="minorHAnsi" w:hAnsi="Arial Nova Light" w:cs="Arial"/>
          <w:sz w:val="24"/>
          <w:szCs w:val="24"/>
          <w:lang w:eastAsia="en-US"/>
        </w:rPr>
        <w:t>, siendo</w:t>
      </w:r>
      <w:r w:rsidR="00610D6D">
        <w:rPr>
          <w:rFonts w:ascii="Arial Nova Light" w:eastAsiaTheme="minorHAnsi" w:hAnsi="Arial Nova Light" w:cs="Arial"/>
          <w:sz w:val="24"/>
          <w:szCs w:val="24"/>
          <w:lang w:eastAsia="en-US"/>
        </w:rPr>
        <w:t xml:space="preserve"> entonces</w:t>
      </w:r>
      <w:r w:rsidR="005B66C5" w:rsidRPr="004A240B">
        <w:rPr>
          <w:rFonts w:ascii="Arial Nova Light" w:eastAsiaTheme="minorHAnsi" w:hAnsi="Arial Nova Light" w:cs="Arial"/>
          <w:sz w:val="24"/>
          <w:szCs w:val="24"/>
          <w:lang w:eastAsia="en-US"/>
        </w:rPr>
        <w:t xml:space="preserve"> que la notificación surtió efectos el mismo día y el plazo de cuatro días para impugnar comenzó a correr el día </w:t>
      </w:r>
      <w:r w:rsidR="00610D6D">
        <w:rPr>
          <w:rFonts w:ascii="Arial Nova Light" w:eastAsiaTheme="minorHAnsi" w:hAnsi="Arial Nova Light" w:cs="Arial"/>
          <w:sz w:val="24"/>
          <w:szCs w:val="24"/>
          <w:lang w:eastAsia="en-US"/>
        </w:rPr>
        <w:t>veintidós</w:t>
      </w:r>
      <w:r w:rsidR="005B66C5" w:rsidRPr="004A240B">
        <w:rPr>
          <w:rFonts w:ascii="Arial Nova Light" w:eastAsiaTheme="minorHAnsi" w:hAnsi="Arial Nova Light" w:cs="Arial"/>
          <w:sz w:val="24"/>
          <w:szCs w:val="24"/>
          <w:lang w:eastAsia="en-US"/>
        </w:rPr>
        <w:t xml:space="preserve"> de abril y concluyó el siguiente día </w:t>
      </w:r>
      <w:r w:rsidR="00610D6D">
        <w:rPr>
          <w:rFonts w:ascii="Arial Nova Light" w:eastAsiaTheme="minorHAnsi" w:hAnsi="Arial Nova Light" w:cs="Arial"/>
          <w:sz w:val="24"/>
          <w:szCs w:val="24"/>
          <w:lang w:eastAsia="en-US"/>
        </w:rPr>
        <w:t>veinticinco</w:t>
      </w:r>
      <w:r w:rsidR="005B66C5" w:rsidRPr="004A240B">
        <w:rPr>
          <w:rFonts w:ascii="Arial Nova Light" w:eastAsiaTheme="minorHAnsi" w:hAnsi="Arial Nova Light" w:cs="Arial"/>
          <w:sz w:val="24"/>
          <w:szCs w:val="24"/>
          <w:lang w:eastAsia="en-US"/>
        </w:rPr>
        <w:t>.</w:t>
      </w:r>
    </w:p>
    <w:p w14:paraId="2AF03E5A" w14:textId="5D94D411" w:rsidR="00C71E6C" w:rsidRPr="004A240B" w:rsidRDefault="00C71E6C"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05FCE1A5" w14:textId="1F8974F5" w:rsidR="00DB0CEF" w:rsidRPr="004A240B" w:rsidRDefault="00610D6D" w:rsidP="00EB3F4D">
      <w:pPr>
        <w:autoSpaceDE w:val="0"/>
        <w:autoSpaceDN w:val="0"/>
        <w:adjustRightInd w:val="0"/>
        <w:spacing w:after="0" w:line="360" w:lineRule="auto"/>
        <w:jc w:val="both"/>
        <w:rPr>
          <w:rFonts w:ascii="Arial Nova Light" w:eastAsiaTheme="minorHAnsi" w:hAnsi="Arial Nova Light" w:cs="Arial"/>
          <w:sz w:val="24"/>
          <w:szCs w:val="24"/>
          <w:lang w:eastAsia="en-US"/>
        </w:rPr>
      </w:pPr>
      <w:r>
        <w:rPr>
          <w:rFonts w:ascii="Arial Nova Light" w:eastAsiaTheme="minorHAnsi" w:hAnsi="Arial Nova Light" w:cs="Arial"/>
          <w:sz w:val="24"/>
          <w:szCs w:val="24"/>
          <w:lang w:eastAsia="en-US"/>
        </w:rPr>
        <w:t xml:space="preserve">En virtud de lo anterior, </w:t>
      </w:r>
      <w:r w:rsidR="00EB3F4D" w:rsidRPr="004A240B">
        <w:rPr>
          <w:rFonts w:ascii="Arial Nova Light" w:eastAsiaTheme="minorHAnsi" w:hAnsi="Arial Nova Light" w:cs="Arial"/>
          <w:sz w:val="24"/>
          <w:szCs w:val="24"/>
          <w:lang w:eastAsia="en-US"/>
        </w:rPr>
        <w:t xml:space="preserve">debe tomarse en consideración, conforme a lo dispuesto en el artículo 300 del Código Electoral, que durante el proceso electoral todos los días </w:t>
      </w:r>
      <w:r w:rsidR="00EB3F4D" w:rsidRPr="004A240B">
        <w:rPr>
          <w:rFonts w:ascii="Arial Nova Light" w:eastAsiaTheme="minorHAnsi" w:hAnsi="Arial Nova Light" w:cs="Arial"/>
          <w:b/>
          <w:bCs/>
          <w:sz w:val="24"/>
          <w:szCs w:val="24"/>
          <w:lang w:eastAsia="en-US"/>
        </w:rPr>
        <w:t>son hábiles.</w:t>
      </w:r>
      <w:r w:rsidR="00EB3F4D" w:rsidRPr="004A240B">
        <w:rPr>
          <w:rFonts w:ascii="Arial Nova Light" w:eastAsiaTheme="minorHAnsi" w:hAnsi="Arial Nova Light" w:cs="Arial"/>
          <w:sz w:val="24"/>
          <w:szCs w:val="24"/>
          <w:lang w:eastAsia="en-US"/>
        </w:rPr>
        <w:t xml:space="preserve"> </w:t>
      </w:r>
    </w:p>
    <w:p w14:paraId="51692D44" w14:textId="77777777" w:rsidR="00DB0CEF" w:rsidRPr="004A240B"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4AFA57A1" w14:textId="5AF784C3" w:rsidR="00DB0CEF" w:rsidRPr="004A240B" w:rsidRDefault="00444F50"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r>
        <w:rPr>
          <w:rFonts w:ascii="Arial Nova Light" w:eastAsiaTheme="minorHAnsi" w:hAnsi="Arial Nova Light" w:cs="Arial"/>
          <w:sz w:val="24"/>
          <w:szCs w:val="24"/>
          <w:lang w:eastAsia="en-US"/>
        </w:rPr>
        <w:t>En esa secuencia</w:t>
      </w:r>
      <w:r w:rsidR="00DB0CEF" w:rsidRPr="004A240B">
        <w:rPr>
          <w:rFonts w:ascii="Arial Nova Light" w:eastAsiaTheme="minorHAnsi" w:hAnsi="Arial Nova Light" w:cs="Arial"/>
          <w:sz w:val="24"/>
          <w:szCs w:val="24"/>
          <w:lang w:eastAsia="en-US"/>
        </w:rPr>
        <w:t>, la demanda</w:t>
      </w:r>
      <w:r>
        <w:rPr>
          <w:rFonts w:ascii="Arial Nova Light" w:eastAsiaTheme="minorHAnsi" w:hAnsi="Arial Nova Light" w:cs="Arial"/>
          <w:sz w:val="24"/>
          <w:szCs w:val="24"/>
          <w:lang w:eastAsia="en-US"/>
        </w:rPr>
        <w:t xml:space="preserve"> que ahora nos ocupa,</w:t>
      </w:r>
      <w:r w:rsidR="00DB0CEF" w:rsidRPr="004A240B">
        <w:rPr>
          <w:rFonts w:ascii="Arial Nova Light" w:eastAsiaTheme="minorHAnsi" w:hAnsi="Arial Nova Light" w:cs="Arial"/>
          <w:sz w:val="24"/>
          <w:szCs w:val="24"/>
          <w:lang w:eastAsia="en-US"/>
        </w:rPr>
        <w:t xml:space="preserve"> fue interpuesta por el promovente hasta el </w:t>
      </w:r>
      <w:r w:rsidR="00687E99" w:rsidRPr="00444F50">
        <w:rPr>
          <w:rFonts w:ascii="Arial Nova Light" w:eastAsiaTheme="minorHAnsi" w:hAnsi="Arial Nova Light" w:cs="Arial"/>
          <w:b/>
          <w:bCs/>
          <w:sz w:val="24"/>
          <w:szCs w:val="24"/>
          <w:lang w:eastAsia="en-US"/>
        </w:rPr>
        <w:t>veintiséis</w:t>
      </w:r>
      <w:r w:rsidR="00DB0CEF" w:rsidRPr="004A240B">
        <w:rPr>
          <w:rFonts w:ascii="Arial Nova Light" w:eastAsiaTheme="minorHAnsi" w:hAnsi="Arial Nova Light" w:cs="Arial"/>
          <w:sz w:val="24"/>
          <w:szCs w:val="24"/>
          <w:lang w:eastAsia="en-US"/>
        </w:rPr>
        <w:t xml:space="preserve"> de </w:t>
      </w:r>
      <w:r w:rsidR="00687E99" w:rsidRPr="004A240B">
        <w:rPr>
          <w:rFonts w:ascii="Arial Nova Light" w:eastAsiaTheme="minorHAnsi" w:hAnsi="Arial Nova Light" w:cs="Arial"/>
          <w:sz w:val="24"/>
          <w:szCs w:val="24"/>
          <w:lang w:eastAsia="en-US"/>
        </w:rPr>
        <w:t>abril</w:t>
      </w:r>
      <w:r w:rsidR="00DB0CEF" w:rsidRPr="004A240B">
        <w:rPr>
          <w:rFonts w:ascii="Arial Nova Light" w:eastAsiaTheme="minorHAnsi" w:hAnsi="Arial Nova Light" w:cs="Arial"/>
          <w:sz w:val="24"/>
          <w:szCs w:val="24"/>
          <w:lang w:eastAsia="en-US"/>
        </w:rPr>
        <w:t xml:space="preserve">, tal y como obra en autos, por lo que, resulta </w:t>
      </w:r>
      <w:r w:rsidR="00DB0CEF" w:rsidRPr="004A240B">
        <w:rPr>
          <w:rFonts w:ascii="Arial Nova Light" w:eastAsiaTheme="minorHAnsi" w:hAnsi="Arial Nova Light" w:cs="Arial"/>
          <w:b/>
          <w:bCs/>
          <w:sz w:val="24"/>
          <w:szCs w:val="24"/>
          <w:lang w:eastAsia="en-US"/>
        </w:rPr>
        <w:t>extemporánea</w:t>
      </w:r>
      <w:r w:rsidR="00DB0CEF" w:rsidRPr="004A240B">
        <w:rPr>
          <w:rFonts w:ascii="Arial Nova Light" w:eastAsiaTheme="minorHAnsi" w:hAnsi="Arial Nova Light" w:cs="Arial"/>
          <w:sz w:val="24"/>
          <w:szCs w:val="24"/>
          <w:lang w:eastAsia="en-US"/>
        </w:rPr>
        <w:t>.</w:t>
      </w:r>
    </w:p>
    <w:p w14:paraId="010091BC" w14:textId="1CDA3B3C" w:rsidR="00DB0CEF"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7B1F2464" w14:textId="0D77C02D" w:rsidR="00AE015A" w:rsidRDefault="00AE015A"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r>
        <w:rPr>
          <w:rFonts w:ascii="Arial Nova Light" w:eastAsiaTheme="minorHAnsi" w:hAnsi="Arial Nova Light" w:cs="Arial"/>
          <w:sz w:val="24"/>
          <w:szCs w:val="24"/>
          <w:lang w:eastAsia="en-US"/>
        </w:rPr>
        <w:t xml:space="preserve">Máxime tomando en consideración que los promoventes, señalaron como domicilio el ubicado en Calle San Gabriel, </w:t>
      </w:r>
      <w:r w:rsidR="00BA247F">
        <w:rPr>
          <w:rFonts w:ascii="Arial Nova Light" w:eastAsiaTheme="minorHAnsi" w:hAnsi="Arial Nova Light" w:cs="Arial"/>
          <w:sz w:val="24"/>
          <w:szCs w:val="24"/>
          <w:lang w:eastAsia="en-US"/>
        </w:rPr>
        <w:t xml:space="preserve">105 Fraccionamiento San Cayetano, </w:t>
      </w:r>
      <w:r w:rsidR="00BA247F" w:rsidRPr="006442B3">
        <w:rPr>
          <w:rFonts w:ascii="Arial Nova Light" w:eastAsiaTheme="minorHAnsi" w:hAnsi="Arial Nova Light" w:cs="Arial"/>
          <w:b/>
          <w:bCs/>
          <w:sz w:val="24"/>
          <w:szCs w:val="24"/>
          <w:lang w:eastAsia="en-US"/>
        </w:rPr>
        <w:t>en la Ciudad de Aguascalientes</w:t>
      </w:r>
      <w:r w:rsidR="00BA247F">
        <w:rPr>
          <w:rFonts w:ascii="Arial Nova Light" w:eastAsiaTheme="minorHAnsi" w:hAnsi="Arial Nova Light" w:cs="Arial"/>
          <w:sz w:val="24"/>
          <w:szCs w:val="24"/>
          <w:lang w:eastAsia="en-US"/>
        </w:rPr>
        <w:t xml:space="preserve">, por lo que, de acuerdo a lo dispuesto en el artículo 12 del Reglamento de la CNHJ, la notificación adecuada e idónea es por estrados, al no haber señalado domicilio en la CDMX. </w:t>
      </w:r>
    </w:p>
    <w:p w14:paraId="46144767" w14:textId="77777777" w:rsidR="00BA247F" w:rsidRPr="004A240B" w:rsidRDefault="00BA247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0DE38F66" w14:textId="64AD07CD" w:rsidR="00DB0CEF" w:rsidRPr="004A240B"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r w:rsidRPr="004A240B">
        <w:rPr>
          <w:rFonts w:ascii="Arial Nova Light" w:eastAsiaTheme="minorHAnsi" w:hAnsi="Arial Nova Light" w:cs="Arial"/>
          <w:sz w:val="24"/>
          <w:szCs w:val="24"/>
          <w:lang w:eastAsia="en-US"/>
        </w:rPr>
        <w:t xml:space="preserve">Entonces, es evidente que la demanda se presentó fuera del plazo legal previsto para tal efecto, por lo que se actualiza la causal de improcedencia </w:t>
      </w:r>
      <w:r w:rsidR="00687E99" w:rsidRPr="004A240B">
        <w:rPr>
          <w:rFonts w:ascii="Arial Nova Light" w:eastAsiaTheme="minorHAnsi" w:hAnsi="Arial Nova Light" w:cs="Arial"/>
          <w:sz w:val="24"/>
          <w:szCs w:val="24"/>
          <w:lang w:eastAsia="en-US"/>
        </w:rPr>
        <w:t xml:space="preserve">prevista en el artículo </w:t>
      </w:r>
      <w:r w:rsidR="006D7156" w:rsidRPr="004A240B">
        <w:rPr>
          <w:rFonts w:ascii="Arial Nova Light" w:eastAsiaTheme="minorHAnsi" w:hAnsi="Arial Nova Light" w:cs="Arial"/>
          <w:sz w:val="24"/>
          <w:szCs w:val="24"/>
          <w:lang w:eastAsia="en-US"/>
        </w:rPr>
        <w:t xml:space="preserve">304, fracción I, del Código Electoral, </w:t>
      </w:r>
      <w:r w:rsidRPr="004A240B">
        <w:rPr>
          <w:rFonts w:ascii="Arial Nova Light" w:eastAsiaTheme="minorHAnsi" w:hAnsi="Arial Nova Light" w:cs="Arial"/>
          <w:sz w:val="24"/>
          <w:szCs w:val="24"/>
          <w:lang w:eastAsia="en-US"/>
        </w:rPr>
        <w:t>relativa a la extemporaneidad de la demanda.</w:t>
      </w:r>
    </w:p>
    <w:p w14:paraId="6E00F513" w14:textId="77777777" w:rsidR="00DB0CEF" w:rsidRPr="004A240B" w:rsidRDefault="00DB0CEF" w:rsidP="00DB0CEF">
      <w:pPr>
        <w:autoSpaceDE w:val="0"/>
        <w:autoSpaceDN w:val="0"/>
        <w:adjustRightInd w:val="0"/>
        <w:spacing w:after="0" w:line="360" w:lineRule="auto"/>
        <w:jc w:val="both"/>
        <w:rPr>
          <w:rFonts w:ascii="Arial Nova Light" w:eastAsiaTheme="minorHAnsi" w:hAnsi="Arial Nova Light" w:cs="Arial"/>
          <w:sz w:val="24"/>
          <w:szCs w:val="24"/>
          <w:lang w:eastAsia="en-US"/>
        </w:rPr>
      </w:pPr>
    </w:p>
    <w:p w14:paraId="5EC7344F" w14:textId="3F36499A" w:rsidR="00BB4EBB" w:rsidRPr="004A240B" w:rsidRDefault="00DB0CEF" w:rsidP="003D2AA6">
      <w:pPr>
        <w:autoSpaceDE w:val="0"/>
        <w:autoSpaceDN w:val="0"/>
        <w:adjustRightInd w:val="0"/>
        <w:spacing w:after="0" w:line="360" w:lineRule="auto"/>
        <w:jc w:val="both"/>
        <w:rPr>
          <w:rFonts w:ascii="Arial Nova Light" w:eastAsiaTheme="minorHAnsi" w:hAnsi="Arial Nova Light" w:cs="Arial"/>
          <w:sz w:val="24"/>
          <w:szCs w:val="24"/>
          <w:lang w:eastAsia="en-US"/>
        </w:rPr>
      </w:pPr>
      <w:r w:rsidRPr="004A240B">
        <w:rPr>
          <w:rFonts w:ascii="Arial Nova Light" w:eastAsiaTheme="minorHAnsi" w:hAnsi="Arial Nova Light" w:cs="Arial"/>
          <w:sz w:val="24"/>
          <w:szCs w:val="24"/>
          <w:lang w:eastAsia="en-US"/>
        </w:rPr>
        <w:t xml:space="preserve">En consecuencia, </w:t>
      </w:r>
      <w:r w:rsidR="00371FE3">
        <w:rPr>
          <w:rFonts w:ascii="Arial Nova Light" w:eastAsiaTheme="minorHAnsi" w:hAnsi="Arial Nova Light" w:cs="Arial"/>
          <w:sz w:val="24"/>
          <w:szCs w:val="24"/>
          <w:lang w:eastAsia="en-US"/>
        </w:rPr>
        <w:t xml:space="preserve">este Tribunal advierte que </w:t>
      </w:r>
      <w:r w:rsidRPr="004A240B">
        <w:rPr>
          <w:rFonts w:ascii="Arial Nova Light" w:eastAsiaTheme="minorHAnsi" w:hAnsi="Arial Nova Light" w:cs="Arial"/>
          <w:sz w:val="24"/>
          <w:szCs w:val="24"/>
          <w:lang w:eastAsia="en-US"/>
        </w:rPr>
        <w:t xml:space="preserve">no es jurídicamente viable computar el plazo tomando como referencia la </w:t>
      </w:r>
      <w:r w:rsidRPr="00371FE3">
        <w:rPr>
          <w:rFonts w:ascii="Arial Nova Light" w:eastAsiaTheme="minorHAnsi" w:hAnsi="Arial Nova Light" w:cs="Arial"/>
          <w:b/>
          <w:bCs/>
          <w:sz w:val="24"/>
          <w:szCs w:val="24"/>
          <w:lang w:eastAsia="en-US"/>
        </w:rPr>
        <w:t>emisión del acuerdo plenario que decreta el cumplimiento</w:t>
      </w:r>
      <w:r w:rsidR="00371FE3">
        <w:rPr>
          <w:rFonts w:ascii="Arial Nova Light" w:eastAsiaTheme="minorHAnsi" w:hAnsi="Arial Nova Light" w:cs="Arial"/>
          <w:b/>
          <w:bCs/>
          <w:sz w:val="24"/>
          <w:szCs w:val="24"/>
          <w:lang w:eastAsia="en-US"/>
        </w:rPr>
        <w:t xml:space="preserve"> del expediente TEEA-JDC-092/2021</w:t>
      </w:r>
      <w:r w:rsidRPr="004A240B">
        <w:rPr>
          <w:rFonts w:ascii="Arial Nova Light" w:eastAsiaTheme="minorHAnsi" w:hAnsi="Arial Nova Light" w:cs="Arial"/>
          <w:sz w:val="24"/>
          <w:szCs w:val="24"/>
          <w:lang w:eastAsia="en-US"/>
        </w:rPr>
        <w:t xml:space="preserve">, </w:t>
      </w:r>
      <w:r w:rsidR="001D7D4C" w:rsidRPr="004A240B">
        <w:rPr>
          <w:rFonts w:ascii="Arial Nova Light" w:eastAsiaTheme="minorHAnsi" w:hAnsi="Arial Nova Light" w:cs="Arial"/>
          <w:sz w:val="24"/>
          <w:szCs w:val="24"/>
          <w:lang w:eastAsia="en-US"/>
        </w:rPr>
        <w:t>sino</w:t>
      </w:r>
      <w:r w:rsidRPr="004A240B">
        <w:rPr>
          <w:rFonts w:ascii="Arial Nova Light" w:eastAsiaTheme="minorHAnsi" w:hAnsi="Arial Nova Light" w:cs="Arial"/>
          <w:sz w:val="24"/>
          <w:szCs w:val="24"/>
          <w:lang w:eastAsia="en-US"/>
        </w:rPr>
        <w:t xml:space="preserve"> que, el plazo para promover la demanda relativa se computa a partir del día siguiente a aquel en que surte efectos, conforme a la ley del acto</w:t>
      </w:r>
      <w:r w:rsidR="00371FE3">
        <w:rPr>
          <w:rFonts w:ascii="Arial Nova Light" w:eastAsiaTheme="minorHAnsi" w:hAnsi="Arial Nova Light" w:cs="Arial"/>
          <w:sz w:val="24"/>
          <w:szCs w:val="24"/>
          <w:lang w:eastAsia="en-US"/>
        </w:rPr>
        <w:t xml:space="preserve"> (en el caso, el Estatuto de MORENA y el Reglamento de la CNHJ)</w:t>
      </w:r>
      <w:r w:rsidRPr="004A240B">
        <w:rPr>
          <w:rFonts w:ascii="Arial Nova Light" w:eastAsiaTheme="minorHAnsi" w:hAnsi="Arial Nova Light" w:cs="Arial"/>
          <w:sz w:val="24"/>
          <w:szCs w:val="24"/>
          <w:lang w:eastAsia="en-US"/>
        </w:rPr>
        <w:t xml:space="preserve">, su </w:t>
      </w:r>
      <w:r w:rsidR="006D7156" w:rsidRPr="004A240B">
        <w:rPr>
          <w:rFonts w:ascii="Arial Nova Light" w:eastAsiaTheme="minorHAnsi" w:hAnsi="Arial Nova Light" w:cs="Arial"/>
          <w:sz w:val="24"/>
          <w:szCs w:val="24"/>
          <w:lang w:eastAsia="en-US"/>
        </w:rPr>
        <w:t xml:space="preserve">correcta </w:t>
      </w:r>
      <w:r w:rsidRPr="004A240B">
        <w:rPr>
          <w:rFonts w:ascii="Arial Nova Light" w:eastAsiaTheme="minorHAnsi" w:hAnsi="Arial Nova Light" w:cs="Arial"/>
          <w:sz w:val="24"/>
          <w:szCs w:val="24"/>
          <w:lang w:eastAsia="en-US"/>
        </w:rPr>
        <w:t>notificación</w:t>
      </w:r>
      <w:r w:rsidR="006D7156" w:rsidRPr="004A240B">
        <w:rPr>
          <w:rFonts w:ascii="Arial Nova Light" w:eastAsiaTheme="minorHAnsi" w:hAnsi="Arial Nova Light" w:cs="Arial"/>
          <w:sz w:val="24"/>
          <w:szCs w:val="24"/>
          <w:lang w:eastAsia="en-US"/>
        </w:rPr>
        <w:t xml:space="preserve">, </w:t>
      </w:r>
      <w:r w:rsidRPr="004A240B">
        <w:rPr>
          <w:rFonts w:ascii="Arial Nova Light" w:eastAsiaTheme="minorHAnsi" w:hAnsi="Arial Nova Light" w:cs="Arial"/>
          <w:sz w:val="24"/>
          <w:szCs w:val="24"/>
          <w:lang w:eastAsia="en-US"/>
        </w:rPr>
        <w:t>por lo que</w:t>
      </w:r>
      <w:r w:rsidRPr="004A240B">
        <w:rPr>
          <w:rFonts w:ascii="Arial Nova Light" w:eastAsiaTheme="minorHAnsi" w:hAnsi="Arial Nova Light" w:cs="Arial"/>
          <w:b/>
          <w:bCs/>
          <w:sz w:val="24"/>
          <w:szCs w:val="24"/>
          <w:lang w:eastAsia="en-US"/>
        </w:rPr>
        <w:t xml:space="preserve"> </w:t>
      </w:r>
      <w:r w:rsidR="003D171F">
        <w:rPr>
          <w:rFonts w:ascii="Arial Nova Light" w:eastAsiaTheme="minorHAnsi" w:hAnsi="Arial Nova Light" w:cs="Arial"/>
          <w:sz w:val="24"/>
          <w:szCs w:val="24"/>
          <w:lang w:eastAsia="en-US"/>
        </w:rPr>
        <w:t>el momento límite oportuno</w:t>
      </w:r>
      <w:r w:rsidRPr="004A240B">
        <w:rPr>
          <w:rFonts w:ascii="Arial Nova Light" w:eastAsiaTheme="minorHAnsi" w:hAnsi="Arial Nova Light" w:cs="Arial"/>
          <w:sz w:val="24"/>
          <w:szCs w:val="24"/>
          <w:lang w:eastAsia="en-US"/>
        </w:rPr>
        <w:t xml:space="preserve"> </w:t>
      </w:r>
      <w:r w:rsidR="003D171F">
        <w:rPr>
          <w:rFonts w:ascii="Arial Nova Light" w:eastAsiaTheme="minorHAnsi" w:hAnsi="Arial Nova Light" w:cs="Arial"/>
          <w:sz w:val="24"/>
          <w:szCs w:val="24"/>
          <w:lang w:eastAsia="en-US"/>
        </w:rPr>
        <w:t>pa</w:t>
      </w:r>
      <w:r w:rsidRPr="004A240B">
        <w:rPr>
          <w:rFonts w:ascii="Arial Nova Light" w:eastAsiaTheme="minorHAnsi" w:hAnsi="Arial Nova Light" w:cs="Arial"/>
          <w:sz w:val="24"/>
          <w:szCs w:val="24"/>
          <w:lang w:eastAsia="en-US"/>
        </w:rPr>
        <w:t xml:space="preserve">ra pronunciarse jurídicamente a través del medio de impugnación pertinente </w:t>
      </w:r>
      <w:r w:rsidR="003D2AA6" w:rsidRPr="004A240B">
        <w:rPr>
          <w:rFonts w:ascii="Arial Nova Light" w:eastAsiaTheme="minorHAnsi" w:hAnsi="Arial Nova Light" w:cs="Arial"/>
          <w:sz w:val="24"/>
          <w:szCs w:val="24"/>
          <w:lang w:eastAsia="en-US"/>
        </w:rPr>
        <w:t xml:space="preserve">dentro del plazo legal previsto, era el </w:t>
      </w:r>
      <w:r w:rsidR="003D171F">
        <w:rPr>
          <w:rFonts w:ascii="Arial Nova Light" w:eastAsiaTheme="minorHAnsi" w:hAnsi="Arial Nova Light" w:cs="Arial"/>
          <w:sz w:val="24"/>
          <w:szCs w:val="24"/>
          <w:lang w:eastAsia="en-US"/>
        </w:rPr>
        <w:t>veinticinco</w:t>
      </w:r>
      <w:r w:rsidR="003D2AA6" w:rsidRPr="004A240B">
        <w:rPr>
          <w:rFonts w:ascii="Arial Nova Light" w:eastAsiaTheme="minorHAnsi" w:hAnsi="Arial Nova Light" w:cs="Arial"/>
          <w:sz w:val="24"/>
          <w:szCs w:val="24"/>
          <w:lang w:eastAsia="en-US"/>
        </w:rPr>
        <w:t xml:space="preserve"> de abril.</w:t>
      </w:r>
      <w:r w:rsidRPr="004A240B">
        <w:rPr>
          <w:rFonts w:ascii="Arial Nova Light" w:eastAsiaTheme="minorHAnsi" w:hAnsi="Arial Nova Light" w:cs="Arial"/>
          <w:sz w:val="24"/>
          <w:szCs w:val="24"/>
          <w:lang w:eastAsia="en-US"/>
        </w:rPr>
        <w:t xml:space="preserve">  </w:t>
      </w:r>
    </w:p>
    <w:p w14:paraId="315E42EF" w14:textId="0268C409" w:rsidR="003D2AA6" w:rsidRPr="004A240B" w:rsidRDefault="003D2AA6" w:rsidP="003D2AA6">
      <w:pPr>
        <w:autoSpaceDE w:val="0"/>
        <w:autoSpaceDN w:val="0"/>
        <w:adjustRightInd w:val="0"/>
        <w:spacing w:after="0" w:line="360" w:lineRule="auto"/>
        <w:jc w:val="both"/>
        <w:rPr>
          <w:rFonts w:ascii="Arial Nova Light" w:eastAsiaTheme="minorHAnsi" w:hAnsi="Arial Nova Light" w:cs="Arial"/>
          <w:sz w:val="24"/>
          <w:szCs w:val="24"/>
          <w:lang w:eastAsia="en-US"/>
        </w:rPr>
      </w:pPr>
      <w:r w:rsidRPr="004A240B">
        <w:rPr>
          <w:rFonts w:ascii="Arial Nova Light" w:eastAsiaTheme="minorHAnsi" w:hAnsi="Arial Nova Light" w:cs="Arial"/>
          <w:sz w:val="24"/>
          <w:szCs w:val="24"/>
          <w:lang w:eastAsia="en-US"/>
        </w:rPr>
        <w:t xml:space="preserve">Para claridad, se inserta línea de tiempo: </w:t>
      </w:r>
      <w:r w:rsidRPr="004A240B">
        <w:rPr>
          <w:rFonts w:ascii="Arial Nova Light" w:eastAsiaTheme="minorHAnsi" w:hAnsi="Arial Nova Light" w:cs="Arial"/>
          <w:sz w:val="24"/>
          <w:szCs w:val="24"/>
          <w:lang w:eastAsia="en-US"/>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482"/>
        <w:gridCol w:w="1089"/>
        <w:gridCol w:w="1089"/>
        <w:gridCol w:w="1089"/>
        <w:gridCol w:w="1138"/>
        <w:gridCol w:w="1348"/>
      </w:tblGrid>
      <w:tr w:rsidR="003D171F" w:rsidRPr="004A240B" w14:paraId="7E8AA019" w14:textId="77777777" w:rsidTr="00E41044">
        <w:trPr>
          <w:jc w:val="center"/>
        </w:trPr>
        <w:tc>
          <w:tcPr>
            <w:tcW w:w="1455" w:type="dxa"/>
            <w:shd w:val="clear" w:color="auto" w:fill="BFBFBF" w:themeFill="background1" w:themeFillShade="BF"/>
          </w:tcPr>
          <w:p w14:paraId="083A8605"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Resolución CNHJ-AGS-643/2021</w:t>
            </w:r>
          </w:p>
        </w:tc>
        <w:tc>
          <w:tcPr>
            <w:tcW w:w="1482" w:type="dxa"/>
            <w:shd w:val="clear" w:color="auto" w:fill="BFBFBF" w:themeFill="background1" w:themeFillShade="BF"/>
          </w:tcPr>
          <w:p w14:paraId="48343453"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Publicación en estrados</w:t>
            </w:r>
          </w:p>
        </w:tc>
        <w:tc>
          <w:tcPr>
            <w:tcW w:w="1089" w:type="dxa"/>
            <w:shd w:val="clear" w:color="auto" w:fill="BFBFBF" w:themeFill="background1" w:themeFillShade="BF"/>
          </w:tcPr>
          <w:p w14:paraId="15C82B12"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Día 1</w:t>
            </w:r>
          </w:p>
        </w:tc>
        <w:tc>
          <w:tcPr>
            <w:tcW w:w="1089" w:type="dxa"/>
            <w:shd w:val="clear" w:color="auto" w:fill="BFBFBF" w:themeFill="background1" w:themeFillShade="BF"/>
          </w:tcPr>
          <w:p w14:paraId="3B291FFD"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Día 2</w:t>
            </w:r>
          </w:p>
        </w:tc>
        <w:tc>
          <w:tcPr>
            <w:tcW w:w="1089" w:type="dxa"/>
            <w:shd w:val="clear" w:color="auto" w:fill="BFBFBF" w:themeFill="background1" w:themeFillShade="BF"/>
          </w:tcPr>
          <w:p w14:paraId="33BD0D92"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Día 3</w:t>
            </w:r>
          </w:p>
        </w:tc>
        <w:tc>
          <w:tcPr>
            <w:tcW w:w="1138" w:type="dxa"/>
            <w:shd w:val="clear" w:color="auto" w:fill="BFBFBF" w:themeFill="background1" w:themeFillShade="BF"/>
          </w:tcPr>
          <w:p w14:paraId="76BE59A6"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Día 4</w:t>
            </w:r>
          </w:p>
        </w:tc>
        <w:tc>
          <w:tcPr>
            <w:tcW w:w="1346" w:type="dxa"/>
            <w:shd w:val="clear" w:color="auto" w:fill="BFBFBF" w:themeFill="background1" w:themeFillShade="BF"/>
          </w:tcPr>
          <w:p w14:paraId="4284DFCD" w14:textId="4444E92B"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4A240B">
              <w:rPr>
                <w:rFonts w:ascii="Arial Nova Light" w:eastAsiaTheme="minorHAnsi" w:hAnsi="Arial Nova Light" w:cs="Arial"/>
                <w:b/>
                <w:bCs/>
                <w:sz w:val="20"/>
                <w:szCs w:val="20"/>
                <w:lang w:eastAsia="en-US"/>
              </w:rPr>
              <w:t xml:space="preserve">Día </w:t>
            </w:r>
            <w:r>
              <w:rPr>
                <w:rFonts w:ascii="Arial Nova Light" w:eastAsiaTheme="minorHAnsi" w:hAnsi="Arial Nova Light" w:cs="Arial"/>
                <w:b/>
                <w:bCs/>
                <w:sz w:val="20"/>
                <w:szCs w:val="20"/>
                <w:lang w:eastAsia="en-US"/>
              </w:rPr>
              <w:t>5</w:t>
            </w:r>
          </w:p>
        </w:tc>
      </w:tr>
      <w:tr w:rsidR="003D171F" w:rsidRPr="004A240B" w14:paraId="496FA0DB" w14:textId="77777777" w:rsidTr="00E41044">
        <w:trPr>
          <w:jc w:val="center"/>
        </w:trPr>
        <w:tc>
          <w:tcPr>
            <w:tcW w:w="1455" w:type="dxa"/>
            <w:tcBorders>
              <w:right w:val="single" w:sz="4" w:space="0" w:color="auto"/>
            </w:tcBorders>
          </w:tcPr>
          <w:p w14:paraId="272CDD1D"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19 de abril</w:t>
            </w:r>
          </w:p>
        </w:tc>
        <w:tc>
          <w:tcPr>
            <w:tcW w:w="1482" w:type="dxa"/>
            <w:tcBorders>
              <w:left w:val="single" w:sz="4" w:space="0" w:color="auto"/>
              <w:right w:val="single" w:sz="4" w:space="0" w:color="auto"/>
            </w:tcBorders>
          </w:tcPr>
          <w:p w14:paraId="7F2B6917" w14:textId="2291ECD3"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w:t>
            </w:r>
            <w:r>
              <w:rPr>
                <w:rFonts w:ascii="Arial Nova Light" w:eastAsiaTheme="minorHAnsi" w:hAnsi="Arial Nova Light" w:cs="Arial"/>
                <w:sz w:val="20"/>
                <w:szCs w:val="20"/>
                <w:lang w:eastAsia="en-US"/>
              </w:rPr>
              <w:t>1</w:t>
            </w:r>
            <w:r w:rsidRPr="004A240B">
              <w:rPr>
                <w:rFonts w:ascii="Arial Nova Light" w:eastAsiaTheme="minorHAnsi" w:hAnsi="Arial Nova Light" w:cs="Arial"/>
                <w:sz w:val="20"/>
                <w:szCs w:val="20"/>
                <w:lang w:eastAsia="en-US"/>
              </w:rPr>
              <w:t xml:space="preserve"> de abril</w:t>
            </w:r>
          </w:p>
        </w:tc>
        <w:tc>
          <w:tcPr>
            <w:tcW w:w="1089" w:type="dxa"/>
            <w:tcBorders>
              <w:left w:val="single" w:sz="4" w:space="0" w:color="auto"/>
              <w:right w:val="single" w:sz="4" w:space="0" w:color="auto"/>
            </w:tcBorders>
          </w:tcPr>
          <w:p w14:paraId="3F6B831A" w14:textId="025C7735"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w:t>
            </w:r>
            <w:r>
              <w:rPr>
                <w:rFonts w:ascii="Arial Nova Light" w:eastAsiaTheme="minorHAnsi" w:hAnsi="Arial Nova Light" w:cs="Arial"/>
                <w:sz w:val="20"/>
                <w:szCs w:val="20"/>
                <w:lang w:eastAsia="en-US"/>
              </w:rPr>
              <w:t>2</w:t>
            </w:r>
            <w:r w:rsidRPr="004A240B">
              <w:rPr>
                <w:rFonts w:ascii="Arial Nova Light" w:eastAsiaTheme="minorHAnsi" w:hAnsi="Arial Nova Light" w:cs="Arial"/>
                <w:sz w:val="20"/>
                <w:szCs w:val="20"/>
                <w:lang w:eastAsia="en-US"/>
              </w:rPr>
              <w:t xml:space="preserve"> de abril</w:t>
            </w:r>
          </w:p>
        </w:tc>
        <w:tc>
          <w:tcPr>
            <w:tcW w:w="1089" w:type="dxa"/>
            <w:tcBorders>
              <w:left w:val="single" w:sz="4" w:space="0" w:color="auto"/>
              <w:right w:val="single" w:sz="4" w:space="0" w:color="auto"/>
            </w:tcBorders>
          </w:tcPr>
          <w:p w14:paraId="1A915E14" w14:textId="69273E19"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w:t>
            </w:r>
            <w:r>
              <w:rPr>
                <w:rFonts w:ascii="Arial Nova Light" w:eastAsiaTheme="minorHAnsi" w:hAnsi="Arial Nova Light" w:cs="Arial"/>
                <w:sz w:val="20"/>
                <w:szCs w:val="20"/>
                <w:lang w:eastAsia="en-US"/>
              </w:rPr>
              <w:t>3</w:t>
            </w:r>
            <w:r w:rsidRPr="004A240B">
              <w:rPr>
                <w:rFonts w:ascii="Arial Nova Light" w:eastAsiaTheme="minorHAnsi" w:hAnsi="Arial Nova Light" w:cs="Arial"/>
                <w:sz w:val="20"/>
                <w:szCs w:val="20"/>
                <w:lang w:eastAsia="en-US"/>
              </w:rPr>
              <w:t xml:space="preserve"> de abril</w:t>
            </w:r>
          </w:p>
        </w:tc>
        <w:tc>
          <w:tcPr>
            <w:tcW w:w="1089" w:type="dxa"/>
            <w:tcBorders>
              <w:left w:val="single" w:sz="4" w:space="0" w:color="auto"/>
              <w:right w:val="single" w:sz="4" w:space="0" w:color="auto"/>
            </w:tcBorders>
          </w:tcPr>
          <w:p w14:paraId="55D2F2BE" w14:textId="342BB513"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w:t>
            </w:r>
            <w:r>
              <w:rPr>
                <w:rFonts w:ascii="Arial Nova Light" w:eastAsiaTheme="minorHAnsi" w:hAnsi="Arial Nova Light" w:cs="Arial"/>
                <w:sz w:val="20"/>
                <w:szCs w:val="20"/>
                <w:lang w:eastAsia="en-US"/>
              </w:rPr>
              <w:t>4</w:t>
            </w:r>
            <w:r w:rsidRPr="004A240B">
              <w:rPr>
                <w:rFonts w:ascii="Arial Nova Light" w:eastAsiaTheme="minorHAnsi" w:hAnsi="Arial Nova Light" w:cs="Arial"/>
                <w:sz w:val="20"/>
                <w:szCs w:val="20"/>
                <w:lang w:eastAsia="en-US"/>
              </w:rPr>
              <w:t xml:space="preserve"> de abril</w:t>
            </w:r>
          </w:p>
        </w:tc>
        <w:tc>
          <w:tcPr>
            <w:tcW w:w="1138" w:type="dxa"/>
            <w:tcBorders>
              <w:left w:val="single" w:sz="4" w:space="0" w:color="auto"/>
              <w:right w:val="single" w:sz="4" w:space="0" w:color="auto"/>
            </w:tcBorders>
          </w:tcPr>
          <w:p w14:paraId="18B735D2" w14:textId="0AFE88E8"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w:t>
            </w:r>
            <w:r>
              <w:rPr>
                <w:rFonts w:ascii="Arial Nova Light" w:eastAsiaTheme="minorHAnsi" w:hAnsi="Arial Nova Light" w:cs="Arial"/>
                <w:sz w:val="20"/>
                <w:szCs w:val="20"/>
                <w:lang w:eastAsia="en-US"/>
              </w:rPr>
              <w:t>5</w:t>
            </w:r>
            <w:r w:rsidRPr="004A240B">
              <w:rPr>
                <w:rFonts w:ascii="Arial Nova Light" w:eastAsiaTheme="minorHAnsi" w:hAnsi="Arial Nova Light" w:cs="Arial"/>
                <w:sz w:val="20"/>
                <w:szCs w:val="20"/>
                <w:lang w:eastAsia="en-US"/>
              </w:rPr>
              <w:t xml:space="preserve"> de abril</w:t>
            </w:r>
          </w:p>
        </w:tc>
        <w:tc>
          <w:tcPr>
            <w:tcW w:w="1346" w:type="dxa"/>
            <w:tcBorders>
              <w:left w:val="single" w:sz="4" w:space="0" w:color="auto"/>
            </w:tcBorders>
          </w:tcPr>
          <w:p w14:paraId="41AA9DAC"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26 de abril</w:t>
            </w:r>
          </w:p>
        </w:tc>
      </w:tr>
      <w:tr w:rsidR="003D171F" w:rsidRPr="004A240B" w14:paraId="3B352F6A" w14:textId="77777777" w:rsidTr="00E41044">
        <w:trPr>
          <w:jc w:val="center"/>
        </w:trPr>
        <w:tc>
          <w:tcPr>
            <w:tcW w:w="1455" w:type="dxa"/>
            <w:shd w:val="clear" w:color="auto" w:fill="BFBFBF" w:themeFill="background1" w:themeFillShade="BF"/>
          </w:tcPr>
          <w:p w14:paraId="5A7AD570"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p>
        </w:tc>
        <w:tc>
          <w:tcPr>
            <w:tcW w:w="1482" w:type="dxa"/>
            <w:shd w:val="clear" w:color="auto" w:fill="BFBFBF" w:themeFill="background1" w:themeFillShade="BF"/>
          </w:tcPr>
          <w:p w14:paraId="355B0866"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p>
        </w:tc>
        <w:tc>
          <w:tcPr>
            <w:tcW w:w="1089" w:type="dxa"/>
            <w:shd w:val="clear" w:color="auto" w:fill="BFBFBF" w:themeFill="background1" w:themeFillShade="BF"/>
          </w:tcPr>
          <w:p w14:paraId="005DFB50"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p>
        </w:tc>
        <w:tc>
          <w:tcPr>
            <w:tcW w:w="1089" w:type="dxa"/>
            <w:shd w:val="clear" w:color="auto" w:fill="BFBFBF" w:themeFill="background1" w:themeFillShade="BF"/>
          </w:tcPr>
          <w:p w14:paraId="307EDFC4"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p>
        </w:tc>
        <w:tc>
          <w:tcPr>
            <w:tcW w:w="1089" w:type="dxa"/>
            <w:shd w:val="clear" w:color="auto" w:fill="BFBFBF" w:themeFill="background1" w:themeFillShade="BF"/>
          </w:tcPr>
          <w:p w14:paraId="0E5B226C"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p>
        </w:tc>
        <w:tc>
          <w:tcPr>
            <w:tcW w:w="1138" w:type="dxa"/>
            <w:shd w:val="clear" w:color="auto" w:fill="BFBFBF" w:themeFill="background1" w:themeFillShade="BF"/>
          </w:tcPr>
          <w:p w14:paraId="59443E48" w14:textId="77777777" w:rsidR="003D171F" w:rsidRPr="004A240B" w:rsidRDefault="003D171F" w:rsidP="003C6B18">
            <w:pPr>
              <w:autoSpaceDE w:val="0"/>
              <w:autoSpaceDN w:val="0"/>
              <w:adjustRightInd w:val="0"/>
              <w:spacing w:after="0" w:line="360" w:lineRule="auto"/>
              <w:jc w:val="center"/>
              <w:rPr>
                <w:rFonts w:ascii="Arial Nova Light" w:eastAsiaTheme="minorHAnsi" w:hAnsi="Arial Nova Light" w:cs="Arial"/>
                <w:sz w:val="20"/>
                <w:szCs w:val="20"/>
                <w:lang w:eastAsia="en-US"/>
              </w:rPr>
            </w:pPr>
            <w:r w:rsidRPr="004A240B">
              <w:rPr>
                <w:rFonts w:ascii="Arial Nova Light" w:eastAsiaTheme="minorHAnsi" w:hAnsi="Arial Nova Light" w:cs="Arial"/>
                <w:sz w:val="20"/>
                <w:szCs w:val="20"/>
                <w:lang w:eastAsia="en-US"/>
              </w:rPr>
              <w:t>Plazo para impugnar</w:t>
            </w:r>
          </w:p>
        </w:tc>
        <w:tc>
          <w:tcPr>
            <w:tcW w:w="1346" w:type="dxa"/>
            <w:shd w:val="clear" w:color="auto" w:fill="BFBFBF" w:themeFill="background1" w:themeFillShade="BF"/>
          </w:tcPr>
          <w:p w14:paraId="32CB457A" w14:textId="77777777" w:rsidR="003D171F" w:rsidRPr="003D171F" w:rsidRDefault="003D171F" w:rsidP="003C6B18">
            <w:pPr>
              <w:autoSpaceDE w:val="0"/>
              <w:autoSpaceDN w:val="0"/>
              <w:adjustRightInd w:val="0"/>
              <w:spacing w:after="0" w:line="360" w:lineRule="auto"/>
              <w:jc w:val="center"/>
              <w:rPr>
                <w:rFonts w:ascii="Arial Nova Light" w:eastAsiaTheme="minorHAnsi" w:hAnsi="Arial Nova Light" w:cs="Arial"/>
                <w:b/>
                <w:bCs/>
                <w:sz w:val="20"/>
                <w:szCs w:val="20"/>
                <w:lang w:eastAsia="en-US"/>
              </w:rPr>
            </w:pPr>
            <w:r w:rsidRPr="003D171F">
              <w:rPr>
                <w:rFonts w:ascii="Arial Nova Light" w:eastAsiaTheme="minorHAnsi" w:hAnsi="Arial Nova Light" w:cs="Arial"/>
                <w:b/>
                <w:bCs/>
                <w:sz w:val="20"/>
                <w:szCs w:val="20"/>
                <w:lang w:eastAsia="en-US"/>
              </w:rPr>
              <w:t xml:space="preserve">Promoventes presentan </w:t>
            </w:r>
            <w:r w:rsidRPr="003D171F">
              <w:rPr>
                <w:rFonts w:ascii="Arial Nova Light" w:eastAsiaTheme="minorHAnsi" w:hAnsi="Arial Nova Light" w:cs="Arial"/>
                <w:b/>
                <w:bCs/>
                <w:sz w:val="20"/>
                <w:szCs w:val="20"/>
                <w:lang w:eastAsia="en-US"/>
              </w:rPr>
              <w:lastRenderedPageBreak/>
              <w:t>medio de impugnación ante el TEEA</w:t>
            </w:r>
          </w:p>
        </w:tc>
      </w:tr>
    </w:tbl>
    <w:p w14:paraId="1494F3EB" w14:textId="77777777" w:rsidR="003D2AA6" w:rsidRPr="004A240B" w:rsidRDefault="003D2AA6" w:rsidP="003D2AA6">
      <w:pPr>
        <w:autoSpaceDE w:val="0"/>
        <w:autoSpaceDN w:val="0"/>
        <w:adjustRightInd w:val="0"/>
        <w:spacing w:after="0" w:line="360" w:lineRule="auto"/>
        <w:jc w:val="both"/>
        <w:rPr>
          <w:rFonts w:ascii="Arial Nova Light" w:hAnsi="Arial Nova Light" w:cs="Arial"/>
          <w:b/>
          <w:bCs/>
          <w:sz w:val="24"/>
          <w:szCs w:val="24"/>
        </w:rPr>
      </w:pPr>
    </w:p>
    <w:p w14:paraId="79CC5A6B" w14:textId="3335EDCF" w:rsidR="004A240B" w:rsidRDefault="004A240B" w:rsidP="004A240B">
      <w:pPr>
        <w:pStyle w:val="Prrafodelista"/>
        <w:numPr>
          <w:ilvl w:val="0"/>
          <w:numId w:val="35"/>
        </w:numPr>
        <w:autoSpaceDE w:val="0"/>
        <w:autoSpaceDN w:val="0"/>
        <w:adjustRightInd w:val="0"/>
        <w:spacing w:after="0" w:line="360" w:lineRule="auto"/>
        <w:ind w:left="0" w:firstLine="0"/>
        <w:jc w:val="both"/>
        <w:rPr>
          <w:rFonts w:ascii="Arial Nova Light" w:eastAsiaTheme="minorHAnsi" w:hAnsi="Arial Nova Light" w:cs="Arial"/>
          <w:sz w:val="24"/>
          <w:szCs w:val="24"/>
          <w:lang w:eastAsia="en-US"/>
        </w:rPr>
      </w:pPr>
      <w:r w:rsidRPr="004A240B">
        <w:rPr>
          <w:rFonts w:ascii="Arial Nova Light" w:hAnsi="Arial Nova Light" w:cs="Arial"/>
          <w:b/>
        </w:rPr>
        <w:t xml:space="preserve">CONCLUSIÓN. </w:t>
      </w:r>
      <w:r w:rsidRPr="004A240B">
        <w:rPr>
          <w:rFonts w:ascii="Arial Nova Light" w:eastAsiaTheme="minorHAnsi" w:hAnsi="Arial Nova Light" w:cs="Arial"/>
          <w:sz w:val="24"/>
          <w:szCs w:val="24"/>
          <w:lang w:eastAsia="en-US"/>
        </w:rPr>
        <w:t xml:space="preserve">En consecuencia, este Tribunal considera que </w:t>
      </w:r>
      <w:r w:rsidRPr="004A240B">
        <w:rPr>
          <w:rFonts w:ascii="Arial Nova Light" w:eastAsiaTheme="minorHAnsi" w:hAnsi="Arial Nova Light" w:cs="Arial"/>
          <w:b/>
          <w:bCs/>
          <w:sz w:val="24"/>
          <w:szCs w:val="24"/>
          <w:lang w:eastAsia="en-US"/>
        </w:rPr>
        <w:t>PROCEDE DESECHAR DE PLANO LA DEMANDA RESPECTIVA</w:t>
      </w:r>
      <w:r w:rsidRPr="004A240B">
        <w:rPr>
          <w:rFonts w:ascii="Arial Nova Light" w:eastAsiaTheme="minorHAnsi" w:hAnsi="Arial Nova Light" w:cs="Arial"/>
          <w:sz w:val="24"/>
          <w:szCs w:val="24"/>
          <w:lang w:eastAsia="en-US"/>
        </w:rPr>
        <w:t xml:space="preserve">, </w:t>
      </w:r>
      <w:r w:rsidR="00D11443">
        <w:rPr>
          <w:rFonts w:ascii="Arial Nova Light" w:eastAsiaTheme="minorHAnsi" w:hAnsi="Arial Nova Light" w:cs="Arial"/>
          <w:sz w:val="24"/>
          <w:szCs w:val="24"/>
          <w:lang w:eastAsia="en-US"/>
        </w:rPr>
        <w:t xml:space="preserve">por actualizarse la causal prevista en el artículo 303, fracción I del Código Electoral, </w:t>
      </w:r>
      <w:r w:rsidR="00E41044">
        <w:rPr>
          <w:rFonts w:ascii="Arial Nova Light" w:eastAsiaTheme="minorHAnsi" w:hAnsi="Arial Nova Light" w:cs="Arial"/>
          <w:sz w:val="24"/>
          <w:szCs w:val="24"/>
          <w:lang w:eastAsia="en-US"/>
        </w:rPr>
        <w:t xml:space="preserve">relativa a la extemporaneidad </w:t>
      </w:r>
      <w:r w:rsidRPr="004A240B">
        <w:rPr>
          <w:rFonts w:ascii="Arial Nova Light" w:eastAsiaTheme="minorHAnsi" w:hAnsi="Arial Nova Light" w:cs="Arial"/>
          <w:sz w:val="24"/>
          <w:szCs w:val="24"/>
          <w:lang w:eastAsia="en-US"/>
        </w:rPr>
        <w:t>en los términos ya explicados en el presente fallo.</w:t>
      </w:r>
    </w:p>
    <w:p w14:paraId="77004C4A" w14:textId="77777777" w:rsidR="00D11443" w:rsidRPr="004A240B" w:rsidRDefault="00D11443" w:rsidP="00D11443">
      <w:pPr>
        <w:pStyle w:val="Prrafodelista"/>
        <w:autoSpaceDE w:val="0"/>
        <w:autoSpaceDN w:val="0"/>
        <w:adjustRightInd w:val="0"/>
        <w:spacing w:after="0" w:line="360" w:lineRule="auto"/>
        <w:ind w:left="0"/>
        <w:jc w:val="both"/>
        <w:rPr>
          <w:rFonts w:ascii="Arial Nova Light" w:eastAsiaTheme="minorHAnsi" w:hAnsi="Arial Nova Light" w:cs="Arial"/>
          <w:sz w:val="24"/>
          <w:szCs w:val="24"/>
          <w:lang w:eastAsia="en-US"/>
        </w:rPr>
      </w:pPr>
    </w:p>
    <w:p w14:paraId="5E6F839F" w14:textId="3EBE8F1D" w:rsidR="004B2823" w:rsidRPr="004A240B" w:rsidRDefault="00CE7A80" w:rsidP="00CE7A80">
      <w:pPr>
        <w:pStyle w:val="Prrafodelista"/>
        <w:numPr>
          <w:ilvl w:val="0"/>
          <w:numId w:val="35"/>
        </w:numPr>
        <w:spacing w:after="0" w:line="360" w:lineRule="auto"/>
        <w:ind w:left="0" w:firstLine="0"/>
        <w:jc w:val="both"/>
        <w:rPr>
          <w:rFonts w:ascii="Arial Nova Light" w:hAnsi="Arial Nova Light" w:cs="Arial"/>
          <w:b/>
          <w:bCs/>
          <w:sz w:val="24"/>
          <w:szCs w:val="24"/>
        </w:rPr>
      </w:pPr>
      <w:r w:rsidRPr="004A240B">
        <w:rPr>
          <w:rFonts w:ascii="Arial Nova Light" w:hAnsi="Arial Nova Light" w:cs="Arial"/>
          <w:b/>
          <w:bCs/>
          <w:sz w:val="24"/>
          <w:szCs w:val="24"/>
        </w:rPr>
        <w:t>RESOLUTIVOS</w:t>
      </w:r>
      <w:r w:rsidR="004B2823" w:rsidRPr="004A240B">
        <w:rPr>
          <w:rFonts w:ascii="Arial Nova Light" w:hAnsi="Arial Nova Light" w:cs="Arial"/>
          <w:b/>
          <w:bCs/>
          <w:sz w:val="24"/>
          <w:szCs w:val="24"/>
        </w:rPr>
        <w:t>.</w:t>
      </w:r>
    </w:p>
    <w:p w14:paraId="401071E3" w14:textId="5ED64DB2" w:rsidR="009A54F1" w:rsidRPr="004A240B" w:rsidRDefault="009A54F1" w:rsidP="004B2823">
      <w:pPr>
        <w:pStyle w:val="Prrafodelista"/>
        <w:spacing w:after="0" w:line="360" w:lineRule="auto"/>
        <w:ind w:left="1080"/>
        <w:jc w:val="both"/>
        <w:rPr>
          <w:rFonts w:ascii="Arial Nova Light" w:hAnsi="Arial Nova Light" w:cs="Arial"/>
          <w:b/>
          <w:bCs/>
          <w:sz w:val="24"/>
          <w:szCs w:val="24"/>
        </w:rPr>
      </w:pPr>
      <w:r w:rsidRPr="004A240B">
        <w:rPr>
          <w:rFonts w:ascii="Arial Nova Light" w:hAnsi="Arial Nova Light" w:cs="Arial"/>
          <w:b/>
          <w:bCs/>
          <w:sz w:val="24"/>
          <w:szCs w:val="24"/>
        </w:rPr>
        <w:t xml:space="preserve"> </w:t>
      </w:r>
    </w:p>
    <w:p w14:paraId="02C2CCA2" w14:textId="4899234B" w:rsidR="005C0835" w:rsidRDefault="0058162D" w:rsidP="00F26149">
      <w:pPr>
        <w:spacing w:after="0" w:line="360" w:lineRule="auto"/>
        <w:jc w:val="both"/>
        <w:rPr>
          <w:rFonts w:ascii="Arial Nova Light" w:eastAsiaTheme="minorHAnsi" w:hAnsi="Arial Nova Light" w:cs="Arial"/>
          <w:sz w:val="24"/>
          <w:szCs w:val="24"/>
          <w:lang w:eastAsia="en-US"/>
        </w:rPr>
      </w:pPr>
      <w:r>
        <w:rPr>
          <w:rFonts w:ascii="Arial Nova Light" w:hAnsi="Arial Nova Light"/>
          <w:b/>
          <w:bCs/>
          <w:sz w:val="24"/>
          <w:szCs w:val="24"/>
        </w:rPr>
        <w:t>Primero</w:t>
      </w:r>
      <w:r w:rsidR="00F26149" w:rsidRPr="004A240B">
        <w:rPr>
          <w:rFonts w:ascii="Arial Nova Light" w:hAnsi="Arial Nova Light"/>
          <w:sz w:val="24"/>
          <w:szCs w:val="24"/>
        </w:rPr>
        <w:t xml:space="preserve">. </w:t>
      </w:r>
      <w:r w:rsidR="00D11443">
        <w:rPr>
          <w:rFonts w:ascii="Arial Nova Light" w:hAnsi="Arial Nova Light"/>
          <w:sz w:val="24"/>
          <w:szCs w:val="24"/>
        </w:rPr>
        <w:t xml:space="preserve"> </w:t>
      </w:r>
      <w:r w:rsidR="00D11443" w:rsidRPr="00D11443">
        <w:rPr>
          <w:rFonts w:ascii="Arial Nova Light" w:eastAsiaTheme="minorHAnsi" w:hAnsi="Arial Nova Light" w:cs="Arial"/>
          <w:sz w:val="24"/>
          <w:szCs w:val="24"/>
          <w:lang w:eastAsia="en-US"/>
        </w:rPr>
        <w:t>Se desecha de plano la demanda</w:t>
      </w:r>
    </w:p>
    <w:p w14:paraId="35EBD1D5" w14:textId="77777777" w:rsidR="00DF34AB" w:rsidRDefault="00DF34AB" w:rsidP="00F26149">
      <w:pPr>
        <w:spacing w:after="0" w:line="360" w:lineRule="auto"/>
        <w:jc w:val="both"/>
        <w:rPr>
          <w:rFonts w:ascii="Arial Nova Light" w:eastAsiaTheme="minorHAnsi" w:hAnsi="Arial Nova Light" w:cs="Arial"/>
          <w:sz w:val="24"/>
          <w:szCs w:val="24"/>
          <w:lang w:eastAsia="en-US"/>
        </w:rPr>
      </w:pPr>
    </w:p>
    <w:p w14:paraId="2824E345" w14:textId="13275320" w:rsidR="0058162D" w:rsidRPr="0058162D" w:rsidRDefault="0058162D" w:rsidP="00F26149">
      <w:pPr>
        <w:spacing w:after="0" w:line="360" w:lineRule="auto"/>
        <w:jc w:val="both"/>
        <w:rPr>
          <w:rFonts w:ascii="Arial Nova Light" w:hAnsi="Arial Nova Light"/>
          <w:sz w:val="24"/>
          <w:szCs w:val="24"/>
        </w:rPr>
      </w:pPr>
      <w:r>
        <w:rPr>
          <w:rFonts w:ascii="Arial Nova Light" w:eastAsiaTheme="minorHAnsi" w:hAnsi="Arial Nova Light" w:cs="Arial"/>
          <w:b/>
          <w:bCs/>
          <w:sz w:val="24"/>
          <w:szCs w:val="24"/>
          <w:lang w:eastAsia="en-US"/>
        </w:rPr>
        <w:t xml:space="preserve">Segundo. </w:t>
      </w:r>
      <w:r>
        <w:rPr>
          <w:rFonts w:ascii="Arial Nova Light" w:eastAsiaTheme="minorHAnsi" w:hAnsi="Arial Nova Light" w:cs="Arial"/>
          <w:sz w:val="24"/>
          <w:szCs w:val="24"/>
          <w:lang w:eastAsia="en-US"/>
        </w:rPr>
        <w:t xml:space="preserve">Se instruye al Secretario General de Acuerdos de este Tribunal, para que de aviso a Sala Regional Monterrey </w:t>
      </w:r>
      <w:r w:rsidR="00DF34AB">
        <w:rPr>
          <w:rFonts w:ascii="Arial Nova Light" w:eastAsiaTheme="minorHAnsi" w:hAnsi="Arial Nova Light" w:cs="Arial"/>
          <w:sz w:val="24"/>
          <w:szCs w:val="24"/>
          <w:lang w:eastAsia="en-US"/>
        </w:rPr>
        <w:t xml:space="preserve">en </w:t>
      </w:r>
      <w:r>
        <w:rPr>
          <w:rFonts w:ascii="Arial Nova Light" w:eastAsiaTheme="minorHAnsi" w:hAnsi="Arial Nova Light" w:cs="Arial"/>
          <w:sz w:val="24"/>
          <w:szCs w:val="24"/>
          <w:lang w:eastAsia="en-US"/>
        </w:rPr>
        <w:t xml:space="preserve">cumplimiento a lo ordenado </w:t>
      </w:r>
      <w:r w:rsidR="00DF34AB">
        <w:rPr>
          <w:rFonts w:ascii="Arial Nova Light" w:eastAsiaTheme="minorHAnsi" w:hAnsi="Arial Nova Light" w:cs="Arial"/>
          <w:sz w:val="24"/>
          <w:szCs w:val="24"/>
          <w:lang w:eastAsia="en-US"/>
        </w:rPr>
        <w:t>dentro</w:t>
      </w:r>
      <w:r>
        <w:rPr>
          <w:rFonts w:ascii="Arial Nova Light" w:eastAsiaTheme="minorHAnsi" w:hAnsi="Arial Nova Light" w:cs="Arial"/>
          <w:sz w:val="24"/>
          <w:szCs w:val="24"/>
          <w:lang w:eastAsia="en-US"/>
        </w:rPr>
        <w:t xml:space="preserve"> </w:t>
      </w:r>
      <w:r w:rsidR="00DF34AB">
        <w:rPr>
          <w:rFonts w:ascii="Arial Nova Light" w:eastAsiaTheme="minorHAnsi" w:hAnsi="Arial Nova Light" w:cs="Arial"/>
          <w:sz w:val="24"/>
          <w:szCs w:val="24"/>
          <w:lang w:eastAsia="en-US"/>
        </w:rPr>
        <w:t>d</w:t>
      </w:r>
      <w:r>
        <w:rPr>
          <w:rFonts w:ascii="Arial Nova Light" w:eastAsiaTheme="minorHAnsi" w:hAnsi="Arial Nova Light" w:cs="Arial"/>
          <w:sz w:val="24"/>
          <w:szCs w:val="24"/>
          <w:lang w:eastAsia="en-US"/>
        </w:rPr>
        <w:t xml:space="preserve">el expediente SM-JDC-310/2021. </w:t>
      </w:r>
    </w:p>
    <w:p w14:paraId="34CB1AB3" w14:textId="4DE83A5F" w:rsidR="005C0835" w:rsidRPr="004A240B" w:rsidRDefault="005C0835" w:rsidP="00F26149">
      <w:pPr>
        <w:spacing w:after="0" w:line="360" w:lineRule="auto"/>
        <w:jc w:val="both"/>
        <w:rPr>
          <w:rFonts w:ascii="Arial Nova Light" w:hAnsi="Arial Nova Light"/>
          <w:sz w:val="24"/>
          <w:szCs w:val="24"/>
        </w:rPr>
      </w:pPr>
    </w:p>
    <w:p w14:paraId="4600CE3A" w14:textId="083CFD75" w:rsidR="009A54F1" w:rsidRPr="004A240B"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4A240B">
        <w:rPr>
          <w:rFonts w:ascii="Arial Nova Light" w:eastAsia="Arial Nova" w:hAnsi="Arial Nova Light" w:cs="Arial Nova"/>
          <w:b/>
          <w:sz w:val="24"/>
          <w:szCs w:val="24"/>
        </w:rPr>
        <w:t>NOTIFÍQUESE</w:t>
      </w:r>
      <w:r w:rsidR="006C1BF4" w:rsidRPr="004A240B">
        <w:rPr>
          <w:rFonts w:ascii="Arial Nova Light" w:eastAsia="Arial Nova" w:hAnsi="Arial Nova Light" w:cs="Arial Nova"/>
          <w:b/>
          <w:sz w:val="24"/>
          <w:szCs w:val="24"/>
        </w:rPr>
        <w:t xml:space="preserve">. </w:t>
      </w:r>
      <w:r w:rsidR="006C1BF4" w:rsidRPr="004A240B">
        <w:rPr>
          <w:rFonts w:ascii="Arial Nova Light" w:eastAsia="Arial Nova" w:hAnsi="Arial Nova Light" w:cs="Arial Nova"/>
          <w:bCs/>
          <w:sz w:val="24"/>
          <w:szCs w:val="24"/>
        </w:rPr>
        <w:t>C</w:t>
      </w:r>
      <w:r w:rsidRPr="004A240B">
        <w:rPr>
          <w:rFonts w:ascii="Arial Nova Light" w:eastAsia="Arial Nova" w:hAnsi="Arial Nova Light" w:cs="Arial Nova"/>
          <w:bCs/>
          <w:sz w:val="24"/>
          <w:szCs w:val="24"/>
        </w:rPr>
        <w:t>o</w:t>
      </w:r>
      <w:r w:rsidRPr="004A240B">
        <w:rPr>
          <w:rFonts w:ascii="Arial Nova Light" w:eastAsia="Arial Nova" w:hAnsi="Arial Nova Light" w:cs="Arial Nova"/>
          <w:sz w:val="24"/>
          <w:szCs w:val="24"/>
        </w:rPr>
        <w:t xml:space="preserve">mo en derecho proceda y en su oportunidad, archívese el presente expediente como asunto concluido. </w:t>
      </w:r>
    </w:p>
    <w:p w14:paraId="27F46CC0" w14:textId="77777777" w:rsidR="009A54F1" w:rsidRPr="004A240B"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p>
    <w:p w14:paraId="5D6BF6A9" w14:textId="44BC95E8" w:rsidR="003A1B91" w:rsidRPr="004A240B"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4A240B">
        <w:rPr>
          <w:rFonts w:ascii="Arial Nova Light" w:eastAsia="Arial Nova" w:hAnsi="Arial Nova Light" w:cs="Arial Nova"/>
          <w:sz w:val="24"/>
          <w:szCs w:val="24"/>
        </w:rPr>
        <w:t xml:space="preserve">Así lo resolvió el Tribunal Electoral del Estado de Aguascalientes, por </w:t>
      </w:r>
      <w:r w:rsidR="003A1B91" w:rsidRPr="003243B9">
        <w:rPr>
          <w:rFonts w:ascii="Arial Nova Light" w:eastAsia="Arial Nova" w:hAnsi="Arial Nova Light" w:cs="Arial Nova"/>
          <w:sz w:val="24"/>
          <w:szCs w:val="24"/>
        </w:rPr>
        <w:t>unanimidad</w:t>
      </w:r>
      <w:r w:rsidRPr="004A240B">
        <w:rPr>
          <w:rFonts w:ascii="Arial Nova Light" w:eastAsia="Arial Nova" w:hAnsi="Arial Nova Light" w:cs="Arial Nova"/>
          <w:sz w:val="24"/>
          <w:szCs w:val="24"/>
        </w:rPr>
        <w:t xml:space="preserve"> de votos de la</w:t>
      </w:r>
      <w:r w:rsidR="006C1BF4" w:rsidRPr="004A240B">
        <w:rPr>
          <w:rFonts w:ascii="Arial Nova Light" w:eastAsia="Arial Nova" w:hAnsi="Arial Nova Light" w:cs="Arial Nova"/>
          <w:sz w:val="24"/>
          <w:szCs w:val="24"/>
        </w:rPr>
        <w:t>s</w:t>
      </w:r>
      <w:r w:rsidRPr="004A240B">
        <w:rPr>
          <w:rFonts w:ascii="Arial Nova Light" w:eastAsia="Arial Nova" w:hAnsi="Arial Nova Light" w:cs="Arial Nova"/>
          <w:sz w:val="24"/>
          <w:szCs w:val="24"/>
        </w:rPr>
        <w:t xml:space="preserve"> Magistrada</w:t>
      </w:r>
      <w:r w:rsidR="006C1BF4" w:rsidRPr="004A240B">
        <w:rPr>
          <w:rFonts w:ascii="Arial Nova Light" w:eastAsia="Arial Nova" w:hAnsi="Arial Nova Light" w:cs="Arial Nova"/>
          <w:sz w:val="24"/>
          <w:szCs w:val="24"/>
        </w:rPr>
        <w:t>s</w:t>
      </w:r>
      <w:r w:rsidRPr="004A240B">
        <w:rPr>
          <w:rFonts w:ascii="Arial Nova Light" w:eastAsia="Arial Nova" w:hAnsi="Arial Nova Light" w:cs="Arial Nova"/>
          <w:sz w:val="24"/>
          <w:szCs w:val="24"/>
        </w:rPr>
        <w:t xml:space="preserve"> y Magistrado que lo integran, ante el Secretario General de Acuerdos, quien autoriza y da fe.  </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F444A6" w:rsidRPr="00F444A6" w14:paraId="51588282" w14:textId="77777777" w:rsidTr="00633F00">
        <w:trPr>
          <w:trHeight w:val="2136"/>
        </w:trPr>
        <w:tc>
          <w:tcPr>
            <w:tcW w:w="9118" w:type="dxa"/>
            <w:gridSpan w:val="2"/>
          </w:tcPr>
          <w:p w14:paraId="6E31620E" w14:textId="213EA096"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bookmarkStart w:id="4" w:name="_Hlk68778058"/>
            <w:r w:rsidRPr="00F444A6">
              <w:rPr>
                <w:rFonts w:ascii="Arial Nova Light" w:eastAsia="Arial Nova" w:hAnsi="Arial Nova Light" w:cs="Arial Nova"/>
                <w:b/>
                <w:sz w:val="18"/>
                <w:szCs w:val="18"/>
              </w:rPr>
              <w:t>MAGISTRADA PRESIDENTA</w:t>
            </w:r>
          </w:p>
          <w:p w14:paraId="778BA68C"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p>
          <w:p w14:paraId="4381459D"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CLAUDIA ELOISA DÍAZ DE LEÓN GONZÁLEZ</w:t>
            </w:r>
          </w:p>
        </w:tc>
      </w:tr>
      <w:tr w:rsidR="00F444A6" w:rsidRPr="00F444A6" w14:paraId="569C4701" w14:textId="77777777" w:rsidTr="00633F00">
        <w:tc>
          <w:tcPr>
            <w:tcW w:w="4558" w:type="dxa"/>
          </w:tcPr>
          <w:p w14:paraId="4B939356" w14:textId="359CB11D"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MAGISTRADA</w:t>
            </w:r>
          </w:p>
          <w:p w14:paraId="74AFFD92" w14:textId="545FCE5D"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p>
          <w:p w14:paraId="3DAC01FD" w14:textId="5271D973"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 xml:space="preserve">LAURA HORTENSIA </w:t>
            </w:r>
          </w:p>
          <w:p w14:paraId="0AD52AA5"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LLAMAS HERNÁNDEZ</w:t>
            </w:r>
          </w:p>
        </w:tc>
        <w:tc>
          <w:tcPr>
            <w:tcW w:w="4560" w:type="dxa"/>
          </w:tcPr>
          <w:p w14:paraId="2ED1A65A" w14:textId="7AA3699D"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MAGISTRADO EN FUNCIONES</w:t>
            </w:r>
          </w:p>
          <w:p w14:paraId="3BE79D31"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p>
          <w:p w14:paraId="1B705828"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JESÚS OCIEL</w:t>
            </w:r>
          </w:p>
          <w:p w14:paraId="3FF2C668"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BAENA SAUCEDO</w:t>
            </w:r>
          </w:p>
          <w:p w14:paraId="5FB24F62" w14:textId="5743661F"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p>
        </w:tc>
      </w:tr>
      <w:tr w:rsidR="00F444A6" w:rsidRPr="00F444A6" w14:paraId="3769BCFB" w14:textId="77777777" w:rsidTr="00633F00">
        <w:tc>
          <w:tcPr>
            <w:tcW w:w="9118" w:type="dxa"/>
            <w:gridSpan w:val="2"/>
          </w:tcPr>
          <w:p w14:paraId="445CDA7D" w14:textId="4434B35C"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SECRETARIO GENERAL DE ACUERDOS EN FUNCIONES</w:t>
            </w:r>
          </w:p>
          <w:p w14:paraId="3936C12E" w14:textId="607009B1"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p>
          <w:p w14:paraId="049DDE67" w14:textId="77777777" w:rsidR="00F444A6" w:rsidRPr="00F444A6" w:rsidRDefault="00F444A6" w:rsidP="00F444A6">
            <w:pPr>
              <w:pBdr>
                <w:top w:val="nil"/>
                <w:left w:val="nil"/>
                <w:bottom w:val="nil"/>
                <w:right w:val="nil"/>
                <w:between w:val="nil"/>
              </w:pBdr>
              <w:spacing w:line="360" w:lineRule="auto"/>
              <w:jc w:val="center"/>
              <w:rPr>
                <w:rFonts w:ascii="Arial Nova Light" w:eastAsia="Arial Nova" w:hAnsi="Arial Nova Light" w:cs="Arial Nova"/>
                <w:b/>
                <w:sz w:val="18"/>
                <w:szCs w:val="18"/>
              </w:rPr>
            </w:pPr>
            <w:r w:rsidRPr="00F444A6">
              <w:rPr>
                <w:rFonts w:ascii="Arial Nova Light" w:eastAsia="Arial Nova" w:hAnsi="Arial Nova Light" w:cs="Arial Nova"/>
                <w:b/>
                <w:sz w:val="18"/>
                <w:szCs w:val="18"/>
              </w:rPr>
              <w:t xml:space="preserve">DANIEL OMAR GUTIÉRREZ RUVALCABA </w:t>
            </w:r>
          </w:p>
        </w:tc>
      </w:tr>
      <w:bookmarkEnd w:id="4"/>
    </w:tbl>
    <w:p w14:paraId="05BA72DE" w14:textId="12F7F8DD" w:rsidR="00D42224" w:rsidRPr="00F444A6" w:rsidRDefault="00D42224">
      <w:pPr>
        <w:rPr>
          <w:rFonts w:ascii="Arial Nova Light" w:hAnsi="Arial Nova Light"/>
          <w:sz w:val="18"/>
          <w:szCs w:val="18"/>
        </w:rPr>
      </w:pPr>
    </w:p>
    <w:sectPr w:rsidR="00D42224" w:rsidRPr="00F444A6" w:rsidSect="008F1D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2410" w:right="1325"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D30" w14:textId="77777777" w:rsidR="004D4A51" w:rsidRDefault="004D4A51" w:rsidP="009A54F1">
      <w:pPr>
        <w:spacing w:after="0" w:line="240" w:lineRule="auto"/>
      </w:pPr>
      <w:r>
        <w:separator/>
      </w:r>
    </w:p>
  </w:endnote>
  <w:endnote w:type="continuationSeparator" w:id="0">
    <w:p w14:paraId="00455AE9" w14:textId="77777777" w:rsidR="004D4A51" w:rsidRDefault="004D4A51" w:rsidP="009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4B0" w14:textId="77777777" w:rsidR="00C50123" w:rsidRDefault="00C501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3F00" w14:textId="77777777" w:rsidR="00C50123" w:rsidRDefault="00C501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8422" w14:textId="77777777" w:rsidR="00C50123" w:rsidRDefault="00C501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5D63" w14:textId="77777777" w:rsidR="004D4A51" w:rsidRDefault="004D4A51" w:rsidP="009A54F1">
      <w:pPr>
        <w:spacing w:after="0" w:line="240" w:lineRule="auto"/>
      </w:pPr>
      <w:r>
        <w:separator/>
      </w:r>
    </w:p>
  </w:footnote>
  <w:footnote w:type="continuationSeparator" w:id="0">
    <w:p w14:paraId="0DCEDAAC" w14:textId="77777777" w:rsidR="004D4A51" w:rsidRDefault="004D4A51" w:rsidP="009A54F1">
      <w:pPr>
        <w:spacing w:after="0" w:line="240" w:lineRule="auto"/>
      </w:pPr>
      <w:r>
        <w:continuationSeparator/>
      </w:r>
    </w:p>
  </w:footnote>
  <w:footnote w:id="1">
    <w:p w14:paraId="6AF4E05D" w14:textId="794EB298" w:rsidR="005B066E" w:rsidRPr="00F64704" w:rsidRDefault="005B066E">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Encargado de despacho de la Secretaría de Estudio adscrito a la Ponencia I, del TEEA. </w:t>
      </w:r>
    </w:p>
  </w:footnote>
  <w:footnote w:id="2">
    <w:p w14:paraId="434FEC0B" w14:textId="4675CADA" w:rsidR="00566D05" w:rsidRPr="00F64704" w:rsidRDefault="00566D05" w:rsidP="00DE6425">
      <w:pPr>
        <w:pStyle w:val="Textonotapie"/>
        <w:jc w:val="both"/>
        <w:rPr>
          <w:rFonts w:ascii="Arial Nova Light" w:hAnsi="Arial Nova Light" w:cs="Arial"/>
          <w:sz w:val="16"/>
          <w:szCs w:val="16"/>
        </w:rPr>
      </w:pPr>
      <w:r w:rsidRPr="00F64704">
        <w:rPr>
          <w:rStyle w:val="Refdenotaalpie"/>
          <w:rFonts w:ascii="Arial Nova Light" w:hAnsi="Arial Nova Light" w:cs="Arial"/>
          <w:sz w:val="16"/>
          <w:szCs w:val="16"/>
        </w:rPr>
        <w:footnoteRef/>
      </w:r>
      <w:r w:rsidRPr="00F64704">
        <w:rPr>
          <w:rFonts w:ascii="Arial Nova Light" w:hAnsi="Arial Nova Light" w:cs="Arial"/>
          <w:sz w:val="16"/>
          <w:szCs w:val="16"/>
        </w:rPr>
        <w:t xml:space="preserve"> “CONVOCATORIA A LOS PROCESOS ELECTORALES INTERNOS PARA LA SELECCIÓN DE CANDIDATURAS PARA: DIPUTACIONES AL CONGRESO LOCAL A ELEGIRSE POR EL PRINCIPIO DE </w:t>
      </w:r>
      <w:r w:rsidR="00DE6425" w:rsidRPr="00F64704">
        <w:rPr>
          <w:rFonts w:ascii="Arial Nova Light" w:hAnsi="Arial Nova Light" w:cs="Arial"/>
          <w:sz w:val="16"/>
          <w:szCs w:val="16"/>
        </w:rPr>
        <w:t>MAYORÍA</w:t>
      </w:r>
      <w:r w:rsidRPr="00F64704">
        <w:rPr>
          <w:rFonts w:ascii="Arial Nova Light" w:hAnsi="Arial Nova Light" w:cs="Arial"/>
          <w:sz w:val="16"/>
          <w:szCs w:val="16"/>
        </w:rPr>
        <w:t xml:space="preserve"> RELATIVA Y REPRESENTACIÓN PROPORCIONAL; Y MIEMBROS DE </w:t>
      </w:r>
      <w:r w:rsidR="00DE6425" w:rsidRPr="00F64704">
        <w:rPr>
          <w:rFonts w:ascii="Arial Nova Light" w:hAnsi="Arial Nova Light" w:cs="Arial"/>
          <w:sz w:val="16"/>
          <w:szCs w:val="16"/>
        </w:rPr>
        <w:t>LOS</w:t>
      </w:r>
      <w:r w:rsidRPr="00F64704">
        <w:rPr>
          <w:rFonts w:ascii="Arial Nova Light" w:hAnsi="Arial Nova Light" w:cs="Arial"/>
          <w:sz w:val="16"/>
          <w:szCs w:val="16"/>
        </w:rPr>
        <w:t xml:space="preserve"> AYUNTAMIENTOS DE ELECCIÓN POPULAR DIRECTA Y EN SU CASO MIEMBROS DE LAS </w:t>
      </w:r>
      <w:r w:rsidR="00DE6425" w:rsidRPr="00F64704">
        <w:rPr>
          <w:rFonts w:ascii="Arial Nova Light" w:hAnsi="Arial Nova Light" w:cs="Arial"/>
          <w:sz w:val="16"/>
          <w:szCs w:val="16"/>
        </w:rPr>
        <w:t>ALCALDÍAS</w:t>
      </w:r>
      <w:r w:rsidRPr="00F64704">
        <w:rPr>
          <w:rFonts w:ascii="Arial Nova Light" w:hAnsi="Arial Nova Light" w:cs="Arial"/>
          <w:sz w:val="16"/>
          <w:szCs w:val="16"/>
        </w:rPr>
        <w:t xml:space="preserve"> Y </w:t>
      </w:r>
      <w:r w:rsidR="00DE6425" w:rsidRPr="00F64704">
        <w:rPr>
          <w:rFonts w:ascii="Arial Nova Light" w:hAnsi="Arial Nova Light" w:cs="Arial"/>
          <w:sz w:val="16"/>
          <w:szCs w:val="16"/>
        </w:rPr>
        <w:t>CONCEJALÍAS</w:t>
      </w:r>
      <w:r w:rsidRPr="00F64704">
        <w:rPr>
          <w:rFonts w:ascii="Arial Nova Light" w:hAnsi="Arial Nova Light" w:cs="Arial"/>
          <w:sz w:val="16"/>
          <w:szCs w:val="16"/>
        </w:rPr>
        <w:t xml:space="preserve"> PARA LOS PROCESOS ELECTORALES 2020-2021 EN LAS ENTIDADES FEDERATIVAS DE AGUASCALIENTES…”</w:t>
      </w:r>
    </w:p>
  </w:footnote>
  <w:footnote w:id="3">
    <w:p w14:paraId="3BD80F2E" w14:textId="77777777" w:rsidR="00566D05" w:rsidRPr="00F64704" w:rsidRDefault="00566D05" w:rsidP="00DE6425">
      <w:pPr>
        <w:pStyle w:val="Textonotapie"/>
        <w:jc w:val="both"/>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Mediante el acuerdo identificado con la clave CG-A-28/2020.</w:t>
      </w:r>
    </w:p>
  </w:footnote>
  <w:footnote w:id="4">
    <w:p w14:paraId="3FE46C01" w14:textId="77777777" w:rsidR="00F6239A" w:rsidRPr="00F64704" w:rsidRDefault="00F6239A" w:rsidP="00F6239A">
      <w:pPr>
        <w:pStyle w:val="Textonotapie"/>
        <w:jc w:val="both"/>
        <w:rPr>
          <w:rFonts w:ascii="Arial Nova Light" w:hAnsi="Arial Nova Light" w:cs="Arial"/>
          <w:sz w:val="16"/>
          <w:szCs w:val="16"/>
        </w:rPr>
      </w:pPr>
      <w:r w:rsidRPr="00F64704">
        <w:rPr>
          <w:rStyle w:val="Refdenotaalpie"/>
          <w:rFonts w:ascii="Arial Nova Light" w:hAnsi="Arial Nova Light" w:cs="Arial"/>
          <w:sz w:val="16"/>
          <w:szCs w:val="16"/>
        </w:rPr>
        <w:footnoteRef/>
      </w:r>
      <w:r w:rsidRPr="00F64704">
        <w:rPr>
          <w:rFonts w:ascii="Arial Nova Light" w:hAnsi="Arial Nova Light" w:cs="Arial"/>
          <w:sz w:val="16"/>
          <w:szCs w:val="16"/>
        </w:rPr>
        <w:t xml:space="preserve"> Jurisprudencia 3/99, emitida por la Primera Sala de la Suprema Corte de Justicia de la Nación, consultable en la página trece, del tomo IX, enero de mil novecientos noventa y nueve, Novena Época, del Semanario Judicial de la Federación y su Gaceta, de rubro; “IMPROCEDENCIA. ESTUDIO PREFERENCIAL DE LAS CAUSALES PREVISTAS EN EL ARTÍCULO 73 DE LA LEY DE AMPARO. –</w:t>
      </w:r>
    </w:p>
    <w:p w14:paraId="39104100" w14:textId="77777777" w:rsidR="00F6239A" w:rsidRPr="00F64704" w:rsidRDefault="00F6239A" w:rsidP="00F6239A">
      <w:pPr>
        <w:pStyle w:val="Textonotapie"/>
        <w:jc w:val="both"/>
        <w:rPr>
          <w:rFonts w:ascii="Arial Nova Light" w:hAnsi="Arial Nova Light" w:cs="Arial"/>
          <w:sz w:val="16"/>
          <w:szCs w:val="16"/>
        </w:rPr>
      </w:pPr>
      <w:r w:rsidRPr="00F64704">
        <w:rPr>
          <w:rFonts w:ascii="Arial Nova Light" w:hAnsi="Arial Nova Light" w:cs="Arial"/>
          <w:sz w:val="16"/>
          <w:szCs w:val="16"/>
        </w:rPr>
        <w:t>Tesis aislada III.3º. C.55 K, emitida por el Tercer Tribunal Colegiado en Materia Civil del Tercer Circuito, consultable en la página 1063, del tomo XI, febrero de dos mil, de la Novena Época, del Semanario Judicial de la Federación y su Gaceta, de rubro; “IMPROCEDENCIA, CAUSALES DE. DEBEN EXAMINARSE OFICIOSAMENTE POR EL TRIBUNAL REVISOR. -</w:t>
      </w:r>
    </w:p>
  </w:footnote>
  <w:footnote w:id="5">
    <w:p w14:paraId="545338B7" w14:textId="77777777" w:rsidR="00DB0CEF" w:rsidRPr="00F64704" w:rsidRDefault="00DB0CEF" w:rsidP="00DB0CEF">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Artículo 10, párrafo 1, inciso b.</w:t>
      </w:r>
    </w:p>
  </w:footnote>
  <w:footnote w:id="6">
    <w:p w14:paraId="17B3A524" w14:textId="1714C0BA" w:rsidR="00DB0CEF" w:rsidRPr="00F64704" w:rsidRDefault="00DB0CEF" w:rsidP="00DB0CEF">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w:t>
      </w:r>
      <w:r w:rsidR="00F64704" w:rsidRPr="00F64704">
        <w:rPr>
          <w:rFonts w:ascii="Arial Nova Light" w:hAnsi="Arial Nova Light"/>
          <w:sz w:val="16"/>
          <w:szCs w:val="16"/>
        </w:rPr>
        <w:t>Artículo 301 del Código Electoral</w:t>
      </w:r>
    </w:p>
  </w:footnote>
  <w:footnote w:id="7">
    <w:p w14:paraId="61D315B1" w14:textId="40C3199A" w:rsidR="00DB0CEF" w:rsidRPr="00F64704" w:rsidRDefault="00DB0CEF" w:rsidP="00DB0CEF">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w:t>
      </w:r>
      <w:r w:rsidR="00F64704" w:rsidRPr="00F64704">
        <w:rPr>
          <w:rFonts w:ascii="Arial Nova Light" w:hAnsi="Arial Nova Light"/>
          <w:sz w:val="16"/>
          <w:szCs w:val="16"/>
        </w:rPr>
        <w:t>Artículo 100 del Reglamento Interior del TEEA</w:t>
      </w:r>
    </w:p>
  </w:footnote>
  <w:footnote w:id="8">
    <w:p w14:paraId="3AD259CB" w14:textId="684D0607" w:rsidR="004746B9" w:rsidRPr="00F64704" w:rsidRDefault="004746B9">
      <w:pPr>
        <w:pStyle w:val="Textonotapie"/>
        <w:rPr>
          <w:rFonts w:ascii="Arial Nova Light" w:hAnsi="Arial Nova Light"/>
          <w:sz w:val="16"/>
          <w:szCs w:val="16"/>
        </w:rPr>
      </w:pPr>
      <w:r w:rsidRPr="00F64704">
        <w:rPr>
          <w:rStyle w:val="Refdenotaalpie"/>
          <w:rFonts w:ascii="Arial Nova Light" w:hAnsi="Arial Nova Light"/>
          <w:sz w:val="16"/>
          <w:szCs w:val="16"/>
        </w:rPr>
        <w:footnoteRef/>
      </w:r>
      <w:r w:rsidRPr="00F64704">
        <w:rPr>
          <w:rFonts w:ascii="Arial Nova Light" w:hAnsi="Arial Nova Light"/>
          <w:sz w:val="16"/>
          <w:szCs w:val="16"/>
        </w:rPr>
        <w:t xml:space="preserve"> Cédula de Notificación por Estrados Electrónicos de la Resolución CNHJ-AGS-643/2021, visible en foja 99 del expediente TEEA-JDC-92/2021.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EADC" w14:textId="66B8AADC" w:rsidR="00C50123" w:rsidRDefault="004D4A51">
    <w:pPr>
      <w:pStyle w:val="Encabezado"/>
    </w:pPr>
    <w:r>
      <w:rPr>
        <w:noProof/>
      </w:rPr>
      <w:pict w14:anchorId="1B7EB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3938" o:spid="_x0000_s2050" type="#_x0000_t136" style="position:absolute;margin-left:0;margin-top:0;width:559.5pt;height:119.9pt;rotation:315;z-index:-251652096;mso-position-horizontal:center;mso-position-horizontal-relative:margin;mso-position-vertical:center;mso-position-vertical-relative:margin" o:allowincell="f" fillcolor="silver" stroked="f">
          <v:fill opacity=".5"/>
          <v:textpath style="font-family:&quot;Calibri&quot;;font-size:1pt" string="PARA SU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F86" w14:textId="5B447D24" w:rsidR="00566D05" w:rsidRDefault="004D4A51" w:rsidP="00CC4367">
    <w:pPr>
      <w:pStyle w:val="Encabezado"/>
      <w:jc w:val="center"/>
      <w:rPr>
        <w:rFonts w:ascii="Arial" w:hAnsi="Arial" w:cs="Arial"/>
        <w:b/>
        <w:sz w:val="18"/>
        <w:szCs w:val="18"/>
      </w:rPr>
    </w:pPr>
    <w:r>
      <w:rPr>
        <w:noProof/>
      </w:rPr>
      <w:pict w14:anchorId="4C405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3939" o:spid="_x0000_s2051" type="#_x0000_t136" style="position:absolute;left:0;text-align:left;margin-left:0;margin-top:0;width:559.5pt;height:119.9pt;rotation:315;z-index:-251650048;mso-position-horizontal:center;mso-position-horizontal-relative:margin;mso-position-vertical:center;mso-position-vertical-relative:margin" o:allowincell="f" fillcolor="silver" stroked="f">
          <v:fill opacity=".5"/>
          <v:textpath style="font-family:&quot;Calibri&quot;;font-size:1pt" string="PARA SU CONSULTA"/>
          <w10:wrap anchorx="margin" anchory="margin"/>
        </v:shape>
      </w:pict>
    </w:r>
    <w:r w:rsidR="00566D05" w:rsidRPr="00A46BD3">
      <w:rPr>
        <w:rFonts w:ascii="Century Gothic" w:hAnsi="Century Gothic"/>
        <w:noProof/>
        <w:lang w:val="es-ES" w:eastAsia="es-ES"/>
      </w:rPr>
      <w:drawing>
        <wp:anchor distT="0" distB="0" distL="114300" distR="114300" simplePos="0" relativeHeight="251659264" behindDoc="0" locked="0" layoutInCell="1" allowOverlap="1" wp14:anchorId="6853F853" wp14:editId="7A21556A">
          <wp:simplePos x="0" y="0"/>
          <wp:positionH relativeFrom="leftMargin">
            <wp:posOffset>842963</wp:posOffset>
          </wp:positionH>
          <wp:positionV relativeFrom="paragraph">
            <wp:posOffset>-159</wp:posOffset>
          </wp:positionV>
          <wp:extent cx="906133" cy="1078707"/>
          <wp:effectExtent l="0" t="0" r="889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909748" cy="1083011"/>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sz w:val="18"/>
          <w:szCs w:val="18"/>
        </w:rPr>
        <w:id w:val="784388259"/>
        <w:docPartObj>
          <w:docPartGallery w:val="Page Numbers (Margins)"/>
          <w:docPartUnique/>
        </w:docPartObj>
      </w:sdtPr>
      <w:sdtEndPr/>
      <w:sdtContent>
        <w:r w:rsidR="00566D05" w:rsidRPr="00395A47">
          <w:rPr>
            <w:rFonts w:ascii="Arial" w:hAnsi="Arial" w:cs="Arial"/>
            <w:b/>
            <w:noProof/>
            <w:sz w:val="18"/>
            <w:szCs w:val="18"/>
            <w:lang w:val="es-ES" w:eastAsia="es-ES"/>
          </w:rPr>
          <mc:AlternateContent>
            <mc:Choice Requires="wps">
              <w:drawing>
                <wp:anchor distT="0" distB="0" distL="114300" distR="114300" simplePos="0" relativeHeight="251660288" behindDoc="0" locked="0" layoutInCell="0" allowOverlap="1" wp14:anchorId="46021D55" wp14:editId="5A2C15FA">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1D55" id="Rectángulo 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4qsFQ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6D05">
      <w:rPr>
        <w:rFonts w:ascii="Arial" w:hAnsi="Arial" w:cs="Arial"/>
        <w:b/>
        <w:sz w:val="18"/>
        <w:szCs w:val="18"/>
      </w:rPr>
      <w:t xml:space="preserve">                                                               </w:t>
    </w:r>
  </w:p>
  <w:p w14:paraId="09117A79" w14:textId="77777777" w:rsidR="00566D05" w:rsidRDefault="00566D05" w:rsidP="00CC4367">
    <w:pPr>
      <w:pStyle w:val="Encabezado"/>
      <w:jc w:val="center"/>
      <w:rPr>
        <w:rFonts w:ascii="Arial" w:hAnsi="Arial" w:cs="Arial"/>
        <w:b/>
        <w:sz w:val="18"/>
        <w:szCs w:val="18"/>
      </w:rPr>
    </w:pPr>
  </w:p>
  <w:p w14:paraId="7E9431EB" w14:textId="0B960E33" w:rsidR="00566D05" w:rsidRPr="00197CB0" w:rsidRDefault="00566D05" w:rsidP="00197CB0">
    <w:pPr>
      <w:pStyle w:val="Encabezado"/>
      <w:jc w:val="right"/>
      <w:rPr>
        <w:rFonts w:ascii="Arial Nova Light" w:hAnsi="Arial Nova Light"/>
        <w:i/>
        <w:iCs/>
        <w:sz w:val="16"/>
        <w:szCs w:val="16"/>
      </w:rPr>
    </w:pPr>
    <w:r w:rsidRPr="00197CB0">
      <w:rPr>
        <w:rFonts w:ascii="Arial Nova Light" w:hAnsi="Arial Nova Light"/>
        <w:i/>
        <w:iCs/>
        <w:sz w:val="16"/>
        <w:szCs w:val="16"/>
      </w:rPr>
      <w:t>TEEA-JDC-</w:t>
    </w:r>
    <w:r w:rsidR="00044CF6">
      <w:rPr>
        <w:rFonts w:ascii="Arial Nova Light" w:hAnsi="Arial Nova Light"/>
        <w:i/>
        <w:iCs/>
        <w:sz w:val="16"/>
        <w:szCs w:val="16"/>
      </w:rPr>
      <w:t>117</w:t>
    </w:r>
    <w:r w:rsidRPr="00197CB0">
      <w:rPr>
        <w:rFonts w:ascii="Arial Nova Light" w:hAnsi="Arial Nova Light"/>
        <w:i/>
        <w:iCs/>
        <w:sz w:val="16"/>
        <w:szCs w:val="16"/>
      </w:rPr>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E64" w14:textId="699C8684" w:rsidR="00C50123" w:rsidRDefault="004D4A51">
    <w:pPr>
      <w:pStyle w:val="Encabezado"/>
    </w:pPr>
    <w:r>
      <w:rPr>
        <w:noProof/>
      </w:rPr>
      <w:pict w14:anchorId="09C1C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3937" o:spid="_x0000_s2049" type="#_x0000_t136" style="position:absolute;margin-left:0;margin-top:0;width:559.5pt;height:119.9pt;rotation:315;z-index:-251654144;mso-position-horizontal:center;mso-position-horizontal-relative:margin;mso-position-vertical:center;mso-position-vertical-relative:margin" o:allowincell="f" fillcolor="silver" stroked="f">
          <v:fill opacity=".5"/>
          <v:textpath style="font-family:&quot;Calibri&quot;;font-size:1pt" string="PARA SU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2AA"/>
    <w:multiLevelType w:val="hybridMultilevel"/>
    <w:tmpl w:val="16181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B5F42"/>
    <w:multiLevelType w:val="hybridMultilevel"/>
    <w:tmpl w:val="9162F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75190"/>
    <w:multiLevelType w:val="hybridMultilevel"/>
    <w:tmpl w:val="65085D50"/>
    <w:lvl w:ilvl="0" w:tplc="2FDEDA78">
      <w:start w:val="1"/>
      <w:numFmt w:val="lowerLetter"/>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2761C"/>
    <w:multiLevelType w:val="hybridMultilevel"/>
    <w:tmpl w:val="559213E4"/>
    <w:lvl w:ilvl="0" w:tplc="7C52C21C">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5" w15:restartNumberingAfterBreak="0">
    <w:nsid w:val="126C5E22"/>
    <w:multiLevelType w:val="hybridMultilevel"/>
    <w:tmpl w:val="9836C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F13A2"/>
    <w:multiLevelType w:val="hybridMultilevel"/>
    <w:tmpl w:val="BC7E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E7C98"/>
    <w:multiLevelType w:val="hybridMultilevel"/>
    <w:tmpl w:val="CBFC1D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117C9"/>
    <w:multiLevelType w:val="hybridMultilevel"/>
    <w:tmpl w:val="5EAA0C68"/>
    <w:lvl w:ilvl="0" w:tplc="5DC011B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46D3C"/>
    <w:multiLevelType w:val="hybridMultilevel"/>
    <w:tmpl w:val="7CBE1456"/>
    <w:lvl w:ilvl="0" w:tplc="E7B82F90">
      <w:start w:val="9"/>
      <w:numFmt w:val="lowerLetter"/>
      <w:lvlText w:val="%1."/>
      <w:lvlJc w:val="left"/>
      <w:pPr>
        <w:ind w:left="720" w:hanging="360"/>
      </w:pPr>
      <w:rPr>
        <w:rFonts w:hint="default"/>
        <w:color w:val="FF0000"/>
      </w:rPr>
    </w:lvl>
    <w:lvl w:ilvl="1" w:tplc="70A27C9C">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466232"/>
    <w:multiLevelType w:val="hybridMultilevel"/>
    <w:tmpl w:val="0966D9C6"/>
    <w:lvl w:ilvl="0" w:tplc="34340B2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F1500F8"/>
    <w:multiLevelType w:val="hybridMultilevel"/>
    <w:tmpl w:val="F710A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8249D"/>
    <w:multiLevelType w:val="hybridMultilevel"/>
    <w:tmpl w:val="8C449446"/>
    <w:lvl w:ilvl="0" w:tplc="033EB36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14733AE"/>
    <w:multiLevelType w:val="hybridMultilevel"/>
    <w:tmpl w:val="A7D408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4B569A"/>
    <w:multiLevelType w:val="hybridMultilevel"/>
    <w:tmpl w:val="3E825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24427B"/>
    <w:multiLevelType w:val="multilevel"/>
    <w:tmpl w:val="F446C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8C1CD1"/>
    <w:multiLevelType w:val="hybridMultilevel"/>
    <w:tmpl w:val="9A4263EA"/>
    <w:lvl w:ilvl="0" w:tplc="A3A8E8AE">
      <w:start w:val="1"/>
      <w:numFmt w:val="upperRoman"/>
      <w:lvlText w:val="%1."/>
      <w:lvlJc w:val="left"/>
      <w:pPr>
        <w:ind w:left="1080" w:hanging="720"/>
      </w:pPr>
      <w:rPr>
        <w:rFonts w:eastAsiaTheme="minorHAnsi"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9" w15:restartNumberingAfterBreak="0">
    <w:nsid w:val="38265A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B1BF1"/>
    <w:multiLevelType w:val="multilevel"/>
    <w:tmpl w:val="BE3217C0"/>
    <w:lvl w:ilvl="0">
      <w:start w:val="1"/>
      <w:numFmt w:val="decimal"/>
      <w:lvlText w:val="%1."/>
      <w:lvlJc w:val="left"/>
      <w:pPr>
        <w:ind w:left="1776" w:hanging="360"/>
      </w:pPr>
      <w:rPr>
        <w:rFonts w:hint="default"/>
        <w:b/>
      </w:rPr>
    </w:lvl>
    <w:lvl w:ilvl="1">
      <w:start w:val="1"/>
      <w:numFmt w:val="decimal"/>
      <w:lvlText w:val="%2."/>
      <w:lvlJc w:val="left"/>
      <w:pPr>
        <w:ind w:left="1836" w:hanging="420"/>
      </w:pPr>
      <w:rPr>
        <w:b/>
      </w:rPr>
    </w:lvl>
    <w:lvl w:ilvl="2">
      <w:start w:val="1"/>
      <w:numFmt w:val="decimal"/>
      <w:isLgl/>
      <w:lvlText w:val="%1.%2.%3."/>
      <w:lvlJc w:val="left"/>
      <w:pPr>
        <w:ind w:left="1418" w:hanging="2"/>
      </w:pPr>
      <w:rPr>
        <w:rFonts w:hint="default"/>
        <w:b/>
      </w:rPr>
    </w:lvl>
    <w:lvl w:ilvl="3">
      <w:start w:val="1"/>
      <w:numFmt w:val="decimal"/>
      <w:isLgl/>
      <w:lvlText w:val="%1.%2.%3.%4."/>
      <w:lvlJc w:val="left"/>
      <w:pPr>
        <w:ind w:left="2136"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496" w:hanging="108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2856" w:hanging="1440"/>
      </w:pPr>
      <w:rPr>
        <w:rFonts w:hint="default"/>
        <w:b/>
      </w:rPr>
    </w:lvl>
    <w:lvl w:ilvl="8">
      <w:start w:val="1"/>
      <w:numFmt w:val="decimal"/>
      <w:isLgl/>
      <w:lvlText w:val="%1.%2.%3.%4.%5.%6.%7.%8.%9."/>
      <w:lvlJc w:val="left"/>
      <w:pPr>
        <w:ind w:left="3216" w:hanging="1800"/>
      </w:pPr>
      <w:rPr>
        <w:rFonts w:hint="default"/>
        <w:b/>
      </w:rPr>
    </w:lvl>
  </w:abstractNum>
  <w:abstractNum w:abstractNumId="21" w15:restartNumberingAfterBreak="0">
    <w:nsid w:val="3B4B7EC2"/>
    <w:multiLevelType w:val="hybridMultilevel"/>
    <w:tmpl w:val="E586FDEE"/>
    <w:lvl w:ilvl="0" w:tplc="0DAAA6FE">
      <w:start w:val="6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777F63"/>
    <w:multiLevelType w:val="hybridMultilevel"/>
    <w:tmpl w:val="6C625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C214DF"/>
    <w:multiLevelType w:val="hybridMultilevel"/>
    <w:tmpl w:val="654456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406929"/>
    <w:multiLevelType w:val="hybridMultilevel"/>
    <w:tmpl w:val="D9286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E435A3"/>
    <w:multiLevelType w:val="hybridMultilevel"/>
    <w:tmpl w:val="FEAEDFA2"/>
    <w:lvl w:ilvl="0" w:tplc="CF34A6E4">
      <w:start w:val="1"/>
      <w:numFmt w:val="lowerRoman"/>
      <w:lvlText w:val="%1."/>
      <w:lvlJc w:val="left"/>
      <w:pPr>
        <w:ind w:left="1440" w:hanging="72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24357AA"/>
    <w:multiLevelType w:val="hybridMultilevel"/>
    <w:tmpl w:val="DBDE65D6"/>
    <w:lvl w:ilvl="0" w:tplc="2CAE9002">
      <w:start w:val="1"/>
      <w:numFmt w:val="upperRoman"/>
      <w:lvlText w:val="%1."/>
      <w:lvlJc w:val="left"/>
      <w:pPr>
        <w:ind w:left="1080" w:hanging="720"/>
      </w:pPr>
      <w:rPr>
        <w:rFonts w:hint="default"/>
        <w:color w:val="auto"/>
      </w:rPr>
    </w:lvl>
    <w:lvl w:ilvl="1" w:tplc="3946B3E0">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3BF2A61"/>
    <w:multiLevelType w:val="hybridMultilevel"/>
    <w:tmpl w:val="472E018C"/>
    <w:lvl w:ilvl="0" w:tplc="080A000F">
      <w:start w:val="5"/>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AB5683"/>
    <w:multiLevelType w:val="hybridMultilevel"/>
    <w:tmpl w:val="15E8EBF6"/>
    <w:lvl w:ilvl="0" w:tplc="DDD823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3F4065"/>
    <w:multiLevelType w:val="hybridMultilevel"/>
    <w:tmpl w:val="684C9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212ECC"/>
    <w:multiLevelType w:val="hybridMultilevel"/>
    <w:tmpl w:val="1F0441E2"/>
    <w:lvl w:ilvl="0" w:tplc="BD668B3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796ECB"/>
    <w:multiLevelType w:val="hybridMultilevel"/>
    <w:tmpl w:val="B4FA76AE"/>
    <w:lvl w:ilvl="0" w:tplc="080A0019">
      <w:start w:val="1"/>
      <w:numFmt w:val="lowerLetter"/>
      <w:lvlText w:val="%1."/>
      <w:lvlJc w:val="left"/>
      <w:pPr>
        <w:ind w:left="720" w:hanging="360"/>
      </w:pPr>
      <w:rPr>
        <w:rFonts w:hint="default"/>
      </w:rPr>
    </w:lvl>
    <w:lvl w:ilvl="1" w:tplc="8FCC2868">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9B3190"/>
    <w:multiLevelType w:val="hybridMultilevel"/>
    <w:tmpl w:val="38FC6D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31911"/>
    <w:multiLevelType w:val="hybridMultilevel"/>
    <w:tmpl w:val="802A2F28"/>
    <w:lvl w:ilvl="0" w:tplc="7AC8EDBA">
      <w:start w:val="6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DA7557"/>
    <w:multiLevelType w:val="hybridMultilevel"/>
    <w:tmpl w:val="5A68A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723AF0"/>
    <w:multiLevelType w:val="multilevel"/>
    <w:tmpl w:val="34504E0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39" w15:restartNumberingAfterBreak="0">
    <w:nsid w:val="6AB31ABC"/>
    <w:multiLevelType w:val="hybridMultilevel"/>
    <w:tmpl w:val="005C3512"/>
    <w:lvl w:ilvl="0" w:tplc="179E483E">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5F5B8B"/>
    <w:multiLevelType w:val="hybridMultilevel"/>
    <w:tmpl w:val="78ACD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B6B3DC6"/>
    <w:multiLevelType w:val="multilevel"/>
    <w:tmpl w:val="09764B8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C473014"/>
    <w:multiLevelType w:val="hybridMultilevel"/>
    <w:tmpl w:val="04ACAE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20679F"/>
    <w:multiLevelType w:val="hybridMultilevel"/>
    <w:tmpl w:val="01F0CD80"/>
    <w:lvl w:ilvl="0" w:tplc="352C67B4">
      <w:start w:val="1"/>
      <w:numFmt w:val="decimal"/>
      <w:lvlText w:val="%1."/>
      <w:lvlJc w:val="left"/>
      <w:pPr>
        <w:ind w:left="720" w:hanging="36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150486"/>
    <w:multiLevelType w:val="hybridMultilevel"/>
    <w:tmpl w:val="CA54A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153DE3"/>
    <w:multiLevelType w:val="hybridMultilevel"/>
    <w:tmpl w:val="B2FAC496"/>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8D3CF4"/>
    <w:multiLevelType w:val="hybridMultilevel"/>
    <w:tmpl w:val="01F0CD80"/>
    <w:lvl w:ilvl="0" w:tplc="352C67B4">
      <w:start w:val="1"/>
      <w:numFmt w:val="decimal"/>
      <w:lvlText w:val="%1."/>
      <w:lvlJc w:val="left"/>
      <w:pPr>
        <w:ind w:left="720" w:hanging="36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D45EE2"/>
    <w:multiLevelType w:val="hybridMultilevel"/>
    <w:tmpl w:val="E796E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
  </w:num>
  <w:num w:numId="4">
    <w:abstractNumId w:val="44"/>
  </w:num>
  <w:num w:numId="5">
    <w:abstractNumId w:val="19"/>
  </w:num>
  <w:num w:numId="6">
    <w:abstractNumId w:val="29"/>
  </w:num>
  <w:num w:numId="7">
    <w:abstractNumId w:val="34"/>
  </w:num>
  <w:num w:numId="8">
    <w:abstractNumId w:val="18"/>
  </w:num>
  <w:num w:numId="9">
    <w:abstractNumId w:val="8"/>
  </w:num>
  <w:num w:numId="10">
    <w:abstractNumId w:val="40"/>
  </w:num>
  <w:num w:numId="11">
    <w:abstractNumId w:val="5"/>
  </w:num>
  <w:num w:numId="12">
    <w:abstractNumId w:val="47"/>
  </w:num>
  <w:num w:numId="13">
    <w:abstractNumId w:val="39"/>
  </w:num>
  <w:num w:numId="14">
    <w:abstractNumId w:val="36"/>
  </w:num>
  <w:num w:numId="15">
    <w:abstractNumId w:val="21"/>
  </w:num>
  <w:num w:numId="16">
    <w:abstractNumId w:val="11"/>
  </w:num>
  <w:num w:numId="17">
    <w:abstractNumId w:val="23"/>
  </w:num>
  <w:num w:numId="18">
    <w:abstractNumId w:val="26"/>
  </w:num>
  <w:num w:numId="19">
    <w:abstractNumId w:val="9"/>
  </w:num>
  <w:num w:numId="20">
    <w:abstractNumId w:val="35"/>
  </w:num>
  <w:num w:numId="21">
    <w:abstractNumId w:val="30"/>
  </w:num>
  <w:num w:numId="22">
    <w:abstractNumId w:val="24"/>
  </w:num>
  <w:num w:numId="23">
    <w:abstractNumId w:val="37"/>
  </w:num>
  <w:num w:numId="24">
    <w:abstractNumId w:val="25"/>
  </w:num>
  <w:num w:numId="25">
    <w:abstractNumId w:val="32"/>
  </w:num>
  <w:num w:numId="26">
    <w:abstractNumId w:val="3"/>
  </w:num>
  <w:num w:numId="27">
    <w:abstractNumId w:val="28"/>
  </w:num>
  <w:num w:numId="28">
    <w:abstractNumId w:val="31"/>
  </w:num>
  <w:num w:numId="29">
    <w:abstractNumId w:val="7"/>
  </w:num>
  <w:num w:numId="30">
    <w:abstractNumId w:val="15"/>
  </w:num>
  <w:num w:numId="31">
    <w:abstractNumId w:val="45"/>
  </w:num>
  <w:num w:numId="32">
    <w:abstractNumId w:val="4"/>
  </w:num>
  <w:num w:numId="33">
    <w:abstractNumId w:val="12"/>
  </w:num>
  <w:num w:numId="34">
    <w:abstractNumId w:val="27"/>
  </w:num>
  <w:num w:numId="35">
    <w:abstractNumId w:val="17"/>
  </w:num>
  <w:num w:numId="36">
    <w:abstractNumId w:val="41"/>
  </w:num>
  <w:num w:numId="37">
    <w:abstractNumId w:val="2"/>
  </w:num>
  <w:num w:numId="38">
    <w:abstractNumId w:val="6"/>
  </w:num>
  <w:num w:numId="39">
    <w:abstractNumId w:val="16"/>
  </w:num>
  <w:num w:numId="40">
    <w:abstractNumId w:val="13"/>
  </w:num>
  <w:num w:numId="41">
    <w:abstractNumId w:val="0"/>
  </w:num>
  <w:num w:numId="42">
    <w:abstractNumId w:val="14"/>
  </w:num>
  <w:num w:numId="43">
    <w:abstractNumId w:val="42"/>
  </w:num>
  <w:num w:numId="44">
    <w:abstractNumId w:val="33"/>
  </w:num>
  <w:num w:numId="45">
    <w:abstractNumId w:val="10"/>
  </w:num>
  <w:num w:numId="46">
    <w:abstractNumId w:val="46"/>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1"/>
    <w:rsid w:val="00001A29"/>
    <w:rsid w:val="000049A0"/>
    <w:rsid w:val="00006F37"/>
    <w:rsid w:val="0000703E"/>
    <w:rsid w:val="00007EE1"/>
    <w:rsid w:val="00010ECA"/>
    <w:rsid w:val="00011836"/>
    <w:rsid w:val="000118AA"/>
    <w:rsid w:val="000158B2"/>
    <w:rsid w:val="0002016D"/>
    <w:rsid w:val="000308CA"/>
    <w:rsid w:val="000334CF"/>
    <w:rsid w:val="000353C9"/>
    <w:rsid w:val="00036942"/>
    <w:rsid w:val="00036D46"/>
    <w:rsid w:val="00044CF6"/>
    <w:rsid w:val="00047C56"/>
    <w:rsid w:val="00052623"/>
    <w:rsid w:val="00055A23"/>
    <w:rsid w:val="000565B3"/>
    <w:rsid w:val="0006391A"/>
    <w:rsid w:val="000639EB"/>
    <w:rsid w:val="00065A9F"/>
    <w:rsid w:val="00066168"/>
    <w:rsid w:val="00066E91"/>
    <w:rsid w:val="00067257"/>
    <w:rsid w:val="00081E37"/>
    <w:rsid w:val="00082CDC"/>
    <w:rsid w:val="00087A18"/>
    <w:rsid w:val="00091BE1"/>
    <w:rsid w:val="000933D8"/>
    <w:rsid w:val="00093B53"/>
    <w:rsid w:val="0009557C"/>
    <w:rsid w:val="000A0746"/>
    <w:rsid w:val="000A217F"/>
    <w:rsid w:val="000A6438"/>
    <w:rsid w:val="000B0025"/>
    <w:rsid w:val="000B1AA0"/>
    <w:rsid w:val="000B23B5"/>
    <w:rsid w:val="000B2923"/>
    <w:rsid w:val="000B4155"/>
    <w:rsid w:val="000B430D"/>
    <w:rsid w:val="000B55CB"/>
    <w:rsid w:val="000C1868"/>
    <w:rsid w:val="000C3632"/>
    <w:rsid w:val="000D0818"/>
    <w:rsid w:val="000D26BC"/>
    <w:rsid w:val="000D57A1"/>
    <w:rsid w:val="000E0C39"/>
    <w:rsid w:val="000E3FF8"/>
    <w:rsid w:val="000E4199"/>
    <w:rsid w:val="000E6A0A"/>
    <w:rsid w:val="000F379D"/>
    <w:rsid w:val="000F3C17"/>
    <w:rsid w:val="000F62CC"/>
    <w:rsid w:val="00102A57"/>
    <w:rsid w:val="0010320D"/>
    <w:rsid w:val="001101C5"/>
    <w:rsid w:val="00112FC2"/>
    <w:rsid w:val="0012064C"/>
    <w:rsid w:val="00122344"/>
    <w:rsid w:val="00125F23"/>
    <w:rsid w:val="00126723"/>
    <w:rsid w:val="00126AA7"/>
    <w:rsid w:val="00132224"/>
    <w:rsid w:val="00134139"/>
    <w:rsid w:val="001356AA"/>
    <w:rsid w:val="00137A23"/>
    <w:rsid w:val="0014121D"/>
    <w:rsid w:val="00146DC1"/>
    <w:rsid w:val="0014734D"/>
    <w:rsid w:val="00147C21"/>
    <w:rsid w:val="00150D13"/>
    <w:rsid w:val="0015409A"/>
    <w:rsid w:val="0015563B"/>
    <w:rsid w:val="00156489"/>
    <w:rsid w:val="00157861"/>
    <w:rsid w:val="00161EAE"/>
    <w:rsid w:val="00165199"/>
    <w:rsid w:val="0017034E"/>
    <w:rsid w:val="00170A84"/>
    <w:rsid w:val="00173827"/>
    <w:rsid w:val="00175AB8"/>
    <w:rsid w:val="00175B85"/>
    <w:rsid w:val="00176C33"/>
    <w:rsid w:val="00177275"/>
    <w:rsid w:val="00180066"/>
    <w:rsid w:val="00181E75"/>
    <w:rsid w:val="00184BF6"/>
    <w:rsid w:val="001907AD"/>
    <w:rsid w:val="00191E89"/>
    <w:rsid w:val="00197CB0"/>
    <w:rsid w:val="001B2905"/>
    <w:rsid w:val="001B2B26"/>
    <w:rsid w:val="001B76D3"/>
    <w:rsid w:val="001C111E"/>
    <w:rsid w:val="001C11F1"/>
    <w:rsid w:val="001D5603"/>
    <w:rsid w:val="001D63BF"/>
    <w:rsid w:val="001D670D"/>
    <w:rsid w:val="001D7D4C"/>
    <w:rsid w:val="001E0D54"/>
    <w:rsid w:val="001E18DD"/>
    <w:rsid w:val="001E36C6"/>
    <w:rsid w:val="001E3903"/>
    <w:rsid w:val="001F08BE"/>
    <w:rsid w:val="001F25D4"/>
    <w:rsid w:val="001F3261"/>
    <w:rsid w:val="001F5490"/>
    <w:rsid w:val="001F6272"/>
    <w:rsid w:val="00204B0D"/>
    <w:rsid w:val="002060B9"/>
    <w:rsid w:val="002125EE"/>
    <w:rsid w:val="00212928"/>
    <w:rsid w:val="00212C71"/>
    <w:rsid w:val="00215E2B"/>
    <w:rsid w:val="00222FDF"/>
    <w:rsid w:val="0023123F"/>
    <w:rsid w:val="00233329"/>
    <w:rsid w:val="00233365"/>
    <w:rsid w:val="00233B64"/>
    <w:rsid w:val="00237228"/>
    <w:rsid w:val="00241128"/>
    <w:rsid w:val="00243854"/>
    <w:rsid w:val="00245261"/>
    <w:rsid w:val="00246644"/>
    <w:rsid w:val="0024755F"/>
    <w:rsid w:val="00250166"/>
    <w:rsid w:val="00260186"/>
    <w:rsid w:val="002622EC"/>
    <w:rsid w:val="0026763A"/>
    <w:rsid w:val="002678D8"/>
    <w:rsid w:val="0026799A"/>
    <w:rsid w:val="002746B9"/>
    <w:rsid w:val="0028270E"/>
    <w:rsid w:val="0028652F"/>
    <w:rsid w:val="00286532"/>
    <w:rsid w:val="002872EB"/>
    <w:rsid w:val="0028761E"/>
    <w:rsid w:val="00290BC7"/>
    <w:rsid w:val="00292653"/>
    <w:rsid w:val="0029647F"/>
    <w:rsid w:val="00296B0F"/>
    <w:rsid w:val="002970EE"/>
    <w:rsid w:val="002A13B1"/>
    <w:rsid w:val="002A4F78"/>
    <w:rsid w:val="002A5389"/>
    <w:rsid w:val="002A6CC3"/>
    <w:rsid w:val="002B06E4"/>
    <w:rsid w:val="002B13F8"/>
    <w:rsid w:val="002B1EA9"/>
    <w:rsid w:val="002B4242"/>
    <w:rsid w:val="002C049D"/>
    <w:rsid w:val="002C0A2B"/>
    <w:rsid w:val="002C47E9"/>
    <w:rsid w:val="002C563F"/>
    <w:rsid w:val="002D15BD"/>
    <w:rsid w:val="002D27A7"/>
    <w:rsid w:val="002D3BAF"/>
    <w:rsid w:val="002E1E6E"/>
    <w:rsid w:val="002E2DF0"/>
    <w:rsid w:val="002F01F0"/>
    <w:rsid w:val="002F27E3"/>
    <w:rsid w:val="002F3233"/>
    <w:rsid w:val="003013EF"/>
    <w:rsid w:val="003021AC"/>
    <w:rsid w:val="003022DD"/>
    <w:rsid w:val="00304CDB"/>
    <w:rsid w:val="00304FF8"/>
    <w:rsid w:val="00306F38"/>
    <w:rsid w:val="0031059C"/>
    <w:rsid w:val="00310629"/>
    <w:rsid w:val="00311E42"/>
    <w:rsid w:val="00312DE9"/>
    <w:rsid w:val="003168A7"/>
    <w:rsid w:val="003243B9"/>
    <w:rsid w:val="003338A9"/>
    <w:rsid w:val="00335246"/>
    <w:rsid w:val="00335A1F"/>
    <w:rsid w:val="00336881"/>
    <w:rsid w:val="00337AB9"/>
    <w:rsid w:val="00343C0E"/>
    <w:rsid w:val="00343FC7"/>
    <w:rsid w:val="00351D80"/>
    <w:rsid w:val="0035380F"/>
    <w:rsid w:val="0035452F"/>
    <w:rsid w:val="003578C5"/>
    <w:rsid w:val="0036587F"/>
    <w:rsid w:val="0036596D"/>
    <w:rsid w:val="00367FCD"/>
    <w:rsid w:val="00371970"/>
    <w:rsid w:val="00371FE3"/>
    <w:rsid w:val="00374931"/>
    <w:rsid w:val="00377005"/>
    <w:rsid w:val="00381E97"/>
    <w:rsid w:val="003825CA"/>
    <w:rsid w:val="00383C93"/>
    <w:rsid w:val="003859B6"/>
    <w:rsid w:val="003906B4"/>
    <w:rsid w:val="00392740"/>
    <w:rsid w:val="00394793"/>
    <w:rsid w:val="003950A8"/>
    <w:rsid w:val="00395685"/>
    <w:rsid w:val="003958FB"/>
    <w:rsid w:val="003966D6"/>
    <w:rsid w:val="00397265"/>
    <w:rsid w:val="00397D25"/>
    <w:rsid w:val="003A1B91"/>
    <w:rsid w:val="003A36C8"/>
    <w:rsid w:val="003A4A35"/>
    <w:rsid w:val="003A58C3"/>
    <w:rsid w:val="003A6EA4"/>
    <w:rsid w:val="003B2B66"/>
    <w:rsid w:val="003C026F"/>
    <w:rsid w:val="003C0695"/>
    <w:rsid w:val="003C132F"/>
    <w:rsid w:val="003C3F67"/>
    <w:rsid w:val="003C6D28"/>
    <w:rsid w:val="003C6E9B"/>
    <w:rsid w:val="003D09FB"/>
    <w:rsid w:val="003D171F"/>
    <w:rsid w:val="003D2AA6"/>
    <w:rsid w:val="003D4624"/>
    <w:rsid w:val="003D567B"/>
    <w:rsid w:val="003F4DEC"/>
    <w:rsid w:val="00400265"/>
    <w:rsid w:val="00400B60"/>
    <w:rsid w:val="004019F2"/>
    <w:rsid w:val="004035B1"/>
    <w:rsid w:val="00406257"/>
    <w:rsid w:val="00412622"/>
    <w:rsid w:val="00412923"/>
    <w:rsid w:val="00413BB2"/>
    <w:rsid w:val="004207BC"/>
    <w:rsid w:val="00420A2B"/>
    <w:rsid w:val="0042206B"/>
    <w:rsid w:val="00422421"/>
    <w:rsid w:val="00422E18"/>
    <w:rsid w:val="00422EC7"/>
    <w:rsid w:val="00425012"/>
    <w:rsid w:val="00426C61"/>
    <w:rsid w:val="00431804"/>
    <w:rsid w:val="0043197C"/>
    <w:rsid w:val="004359BA"/>
    <w:rsid w:val="004361A9"/>
    <w:rsid w:val="004434D3"/>
    <w:rsid w:val="00444F50"/>
    <w:rsid w:val="00446D6D"/>
    <w:rsid w:val="00451F1D"/>
    <w:rsid w:val="00455047"/>
    <w:rsid w:val="00455A86"/>
    <w:rsid w:val="00460FDB"/>
    <w:rsid w:val="0047088C"/>
    <w:rsid w:val="00472715"/>
    <w:rsid w:val="004746B9"/>
    <w:rsid w:val="004752D6"/>
    <w:rsid w:val="00480C22"/>
    <w:rsid w:val="00480CFC"/>
    <w:rsid w:val="00480EA0"/>
    <w:rsid w:val="00480FA8"/>
    <w:rsid w:val="00484F10"/>
    <w:rsid w:val="00485BEB"/>
    <w:rsid w:val="004865E2"/>
    <w:rsid w:val="00487C91"/>
    <w:rsid w:val="00490D3C"/>
    <w:rsid w:val="00492295"/>
    <w:rsid w:val="00493FD4"/>
    <w:rsid w:val="0049467A"/>
    <w:rsid w:val="00495859"/>
    <w:rsid w:val="00495949"/>
    <w:rsid w:val="00497D2F"/>
    <w:rsid w:val="004A240B"/>
    <w:rsid w:val="004A422D"/>
    <w:rsid w:val="004A7173"/>
    <w:rsid w:val="004B234F"/>
    <w:rsid w:val="004B2823"/>
    <w:rsid w:val="004B3267"/>
    <w:rsid w:val="004C22AD"/>
    <w:rsid w:val="004C2C57"/>
    <w:rsid w:val="004C6C5F"/>
    <w:rsid w:val="004D4258"/>
    <w:rsid w:val="004D4A51"/>
    <w:rsid w:val="004D5C58"/>
    <w:rsid w:val="004D7950"/>
    <w:rsid w:val="004E04EF"/>
    <w:rsid w:val="004E6F31"/>
    <w:rsid w:val="004F26C6"/>
    <w:rsid w:val="004F4B40"/>
    <w:rsid w:val="004F7261"/>
    <w:rsid w:val="00500A21"/>
    <w:rsid w:val="00501096"/>
    <w:rsid w:val="0050221D"/>
    <w:rsid w:val="005055A3"/>
    <w:rsid w:val="00507FFA"/>
    <w:rsid w:val="005108C2"/>
    <w:rsid w:val="00517AD0"/>
    <w:rsid w:val="00521A02"/>
    <w:rsid w:val="00524C94"/>
    <w:rsid w:val="005279C7"/>
    <w:rsid w:val="00532081"/>
    <w:rsid w:val="00535DE6"/>
    <w:rsid w:val="00537A2C"/>
    <w:rsid w:val="00555DF2"/>
    <w:rsid w:val="00557011"/>
    <w:rsid w:val="00557ADE"/>
    <w:rsid w:val="0056157F"/>
    <w:rsid w:val="00564C6D"/>
    <w:rsid w:val="0056590D"/>
    <w:rsid w:val="00565FCF"/>
    <w:rsid w:val="00566D05"/>
    <w:rsid w:val="00572BCC"/>
    <w:rsid w:val="0057395C"/>
    <w:rsid w:val="00573CC8"/>
    <w:rsid w:val="00573F0E"/>
    <w:rsid w:val="00577C4A"/>
    <w:rsid w:val="0058162D"/>
    <w:rsid w:val="005817F8"/>
    <w:rsid w:val="005825FD"/>
    <w:rsid w:val="0058338E"/>
    <w:rsid w:val="00584ACC"/>
    <w:rsid w:val="00584EB4"/>
    <w:rsid w:val="00585DA0"/>
    <w:rsid w:val="00591C32"/>
    <w:rsid w:val="00592314"/>
    <w:rsid w:val="00595375"/>
    <w:rsid w:val="00596D94"/>
    <w:rsid w:val="00597945"/>
    <w:rsid w:val="005A1AA7"/>
    <w:rsid w:val="005A59D2"/>
    <w:rsid w:val="005A7130"/>
    <w:rsid w:val="005B066E"/>
    <w:rsid w:val="005B66C5"/>
    <w:rsid w:val="005B67A2"/>
    <w:rsid w:val="005C0835"/>
    <w:rsid w:val="005C18C9"/>
    <w:rsid w:val="005C35FC"/>
    <w:rsid w:val="005C7D30"/>
    <w:rsid w:val="005D1C3A"/>
    <w:rsid w:val="005D2C3D"/>
    <w:rsid w:val="005D7F90"/>
    <w:rsid w:val="005E3F2F"/>
    <w:rsid w:val="005E7A64"/>
    <w:rsid w:val="005F0360"/>
    <w:rsid w:val="005F036F"/>
    <w:rsid w:val="005F5155"/>
    <w:rsid w:val="005F6530"/>
    <w:rsid w:val="005F7BA8"/>
    <w:rsid w:val="00610653"/>
    <w:rsid w:val="00610D6D"/>
    <w:rsid w:val="00614782"/>
    <w:rsid w:val="00616407"/>
    <w:rsid w:val="00625101"/>
    <w:rsid w:val="006268C3"/>
    <w:rsid w:val="00626EA4"/>
    <w:rsid w:val="00630227"/>
    <w:rsid w:val="00632FE3"/>
    <w:rsid w:val="006336F0"/>
    <w:rsid w:val="00633938"/>
    <w:rsid w:val="00635853"/>
    <w:rsid w:val="00636114"/>
    <w:rsid w:val="00640D2D"/>
    <w:rsid w:val="0064189E"/>
    <w:rsid w:val="0064198E"/>
    <w:rsid w:val="006442B3"/>
    <w:rsid w:val="00646A42"/>
    <w:rsid w:val="00646F91"/>
    <w:rsid w:val="00655905"/>
    <w:rsid w:val="00657FCD"/>
    <w:rsid w:val="00664CC0"/>
    <w:rsid w:val="00665E11"/>
    <w:rsid w:val="006676AF"/>
    <w:rsid w:val="00667FB1"/>
    <w:rsid w:val="006714AE"/>
    <w:rsid w:val="00671BED"/>
    <w:rsid w:val="00671EC4"/>
    <w:rsid w:val="006721AC"/>
    <w:rsid w:val="00673262"/>
    <w:rsid w:val="0067417C"/>
    <w:rsid w:val="00674497"/>
    <w:rsid w:val="00677918"/>
    <w:rsid w:val="00677FB3"/>
    <w:rsid w:val="00680775"/>
    <w:rsid w:val="00680862"/>
    <w:rsid w:val="00680D80"/>
    <w:rsid w:val="0068211D"/>
    <w:rsid w:val="00682D17"/>
    <w:rsid w:val="00684DE6"/>
    <w:rsid w:val="00685333"/>
    <w:rsid w:val="00686D6C"/>
    <w:rsid w:val="00687E99"/>
    <w:rsid w:val="00695074"/>
    <w:rsid w:val="00695D6E"/>
    <w:rsid w:val="006960F2"/>
    <w:rsid w:val="00696AD9"/>
    <w:rsid w:val="00696E9E"/>
    <w:rsid w:val="006971D4"/>
    <w:rsid w:val="006A022E"/>
    <w:rsid w:val="006A080C"/>
    <w:rsid w:val="006A4618"/>
    <w:rsid w:val="006A688E"/>
    <w:rsid w:val="006B007A"/>
    <w:rsid w:val="006B1C16"/>
    <w:rsid w:val="006B1F0C"/>
    <w:rsid w:val="006B2DD3"/>
    <w:rsid w:val="006B3603"/>
    <w:rsid w:val="006B40B7"/>
    <w:rsid w:val="006B737D"/>
    <w:rsid w:val="006C0B29"/>
    <w:rsid w:val="006C0D25"/>
    <w:rsid w:val="006C1770"/>
    <w:rsid w:val="006C1BF4"/>
    <w:rsid w:val="006C31B4"/>
    <w:rsid w:val="006C493A"/>
    <w:rsid w:val="006C53ED"/>
    <w:rsid w:val="006C6FE0"/>
    <w:rsid w:val="006D55BA"/>
    <w:rsid w:val="006D70E0"/>
    <w:rsid w:val="006D7156"/>
    <w:rsid w:val="006D729A"/>
    <w:rsid w:val="006E0BA9"/>
    <w:rsid w:val="006E22C1"/>
    <w:rsid w:val="006E38CE"/>
    <w:rsid w:val="006E3CE3"/>
    <w:rsid w:val="006E56C1"/>
    <w:rsid w:val="006F0B84"/>
    <w:rsid w:val="006F60C9"/>
    <w:rsid w:val="006F70A3"/>
    <w:rsid w:val="00700B54"/>
    <w:rsid w:val="0071020D"/>
    <w:rsid w:val="0071204B"/>
    <w:rsid w:val="00717964"/>
    <w:rsid w:val="00717AD0"/>
    <w:rsid w:val="007232EC"/>
    <w:rsid w:val="007258A9"/>
    <w:rsid w:val="00731049"/>
    <w:rsid w:val="00732AC4"/>
    <w:rsid w:val="00735B61"/>
    <w:rsid w:val="007437A9"/>
    <w:rsid w:val="00745328"/>
    <w:rsid w:val="00747119"/>
    <w:rsid w:val="007529C0"/>
    <w:rsid w:val="007532AE"/>
    <w:rsid w:val="00754AB2"/>
    <w:rsid w:val="00755B83"/>
    <w:rsid w:val="00756E2C"/>
    <w:rsid w:val="00757B7D"/>
    <w:rsid w:val="007606F4"/>
    <w:rsid w:val="00761EE1"/>
    <w:rsid w:val="00764EE4"/>
    <w:rsid w:val="0077088B"/>
    <w:rsid w:val="00781061"/>
    <w:rsid w:val="00785082"/>
    <w:rsid w:val="00787551"/>
    <w:rsid w:val="007945FA"/>
    <w:rsid w:val="00795E74"/>
    <w:rsid w:val="007A63B1"/>
    <w:rsid w:val="007B0098"/>
    <w:rsid w:val="007B59ED"/>
    <w:rsid w:val="007B72BB"/>
    <w:rsid w:val="007B734E"/>
    <w:rsid w:val="007B78FD"/>
    <w:rsid w:val="007C326D"/>
    <w:rsid w:val="007C6360"/>
    <w:rsid w:val="007C7595"/>
    <w:rsid w:val="007D0E1E"/>
    <w:rsid w:val="007D0EA1"/>
    <w:rsid w:val="007D3608"/>
    <w:rsid w:val="007D5C7E"/>
    <w:rsid w:val="007D6E12"/>
    <w:rsid w:val="007E12CA"/>
    <w:rsid w:val="007E3A5E"/>
    <w:rsid w:val="007E5010"/>
    <w:rsid w:val="007E5EE5"/>
    <w:rsid w:val="007E6652"/>
    <w:rsid w:val="007E7718"/>
    <w:rsid w:val="007F5D45"/>
    <w:rsid w:val="0080065A"/>
    <w:rsid w:val="00800CC1"/>
    <w:rsid w:val="00804BDA"/>
    <w:rsid w:val="00805F77"/>
    <w:rsid w:val="008070E5"/>
    <w:rsid w:val="008078C9"/>
    <w:rsid w:val="00807F16"/>
    <w:rsid w:val="00816000"/>
    <w:rsid w:val="00816392"/>
    <w:rsid w:val="00816C4F"/>
    <w:rsid w:val="00824A04"/>
    <w:rsid w:val="00826982"/>
    <w:rsid w:val="00831B20"/>
    <w:rsid w:val="00836E02"/>
    <w:rsid w:val="00841856"/>
    <w:rsid w:val="00842BCA"/>
    <w:rsid w:val="00847856"/>
    <w:rsid w:val="0085662F"/>
    <w:rsid w:val="0086107E"/>
    <w:rsid w:val="0086216B"/>
    <w:rsid w:val="008631FA"/>
    <w:rsid w:val="008651B7"/>
    <w:rsid w:val="00865368"/>
    <w:rsid w:val="00865802"/>
    <w:rsid w:val="0086640D"/>
    <w:rsid w:val="008718B5"/>
    <w:rsid w:val="00872B46"/>
    <w:rsid w:val="00874F3F"/>
    <w:rsid w:val="00875C50"/>
    <w:rsid w:val="00876535"/>
    <w:rsid w:val="00877A79"/>
    <w:rsid w:val="0088406D"/>
    <w:rsid w:val="00884075"/>
    <w:rsid w:val="00897A98"/>
    <w:rsid w:val="008A1072"/>
    <w:rsid w:val="008A3017"/>
    <w:rsid w:val="008B7283"/>
    <w:rsid w:val="008B7E86"/>
    <w:rsid w:val="008C258E"/>
    <w:rsid w:val="008C4A46"/>
    <w:rsid w:val="008C4E2A"/>
    <w:rsid w:val="008C6668"/>
    <w:rsid w:val="008D2801"/>
    <w:rsid w:val="008D2DD0"/>
    <w:rsid w:val="008D77EE"/>
    <w:rsid w:val="008E2F17"/>
    <w:rsid w:val="008E78A4"/>
    <w:rsid w:val="008F064D"/>
    <w:rsid w:val="008F1DE1"/>
    <w:rsid w:val="008F308F"/>
    <w:rsid w:val="008F70D4"/>
    <w:rsid w:val="00902F8A"/>
    <w:rsid w:val="00904D00"/>
    <w:rsid w:val="0091231C"/>
    <w:rsid w:val="00915E6B"/>
    <w:rsid w:val="0091764B"/>
    <w:rsid w:val="00920EBD"/>
    <w:rsid w:val="00921394"/>
    <w:rsid w:val="009229A8"/>
    <w:rsid w:val="00923E0F"/>
    <w:rsid w:val="009270BF"/>
    <w:rsid w:val="009314C4"/>
    <w:rsid w:val="009333E4"/>
    <w:rsid w:val="00934EF6"/>
    <w:rsid w:val="0093612C"/>
    <w:rsid w:val="00940285"/>
    <w:rsid w:val="009427ED"/>
    <w:rsid w:val="00947C96"/>
    <w:rsid w:val="00952474"/>
    <w:rsid w:val="00953794"/>
    <w:rsid w:val="00953B56"/>
    <w:rsid w:val="00957BCD"/>
    <w:rsid w:val="00957D78"/>
    <w:rsid w:val="00960374"/>
    <w:rsid w:val="009635F5"/>
    <w:rsid w:val="00964B77"/>
    <w:rsid w:val="00965998"/>
    <w:rsid w:val="00971BE1"/>
    <w:rsid w:val="009722F3"/>
    <w:rsid w:val="00972438"/>
    <w:rsid w:val="00974561"/>
    <w:rsid w:val="009773F5"/>
    <w:rsid w:val="009837F9"/>
    <w:rsid w:val="0098602E"/>
    <w:rsid w:val="00993234"/>
    <w:rsid w:val="00994CFB"/>
    <w:rsid w:val="009A333F"/>
    <w:rsid w:val="009A42BC"/>
    <w:rsid w:val="009A54F1"/>
    <w:rsid w:val="009A76E0"/>
    <w:rsid w:val="009A7988"/>
    <w:rsid w:val="009B059E"/>
    <w:rsid w:val="009B0E1D"/>
    <w:rsid w:val="009B1820"/>
    <w:rsid w:val="009B2AD4"/>
    <w:rsid w:val="009B7119"/>
    <w:rsid w:val="009C3395"/>
    <w:rsid w:val="009C35E4"/>
    <w:rsid w:val="009C54B1"/>
    <w:rsid w:val="009C7B8B"/>
    <w:rsid w:val="009D16C5"/>
    <w:rsid w:val="009D4AEE"/>
    <w:rsid w:val="009D560D"/>
    <w:rsid w:val="009E0A28"/>
    <w:rsid w:val="009E41A6"/>
    <w:rsid w:val="009E717D"/>
    <w:rsid w:val="009E7209"/>
    <w:rsid w:val="009F0464"/>
    <w:rsid w:val="009F14C6"/>
    <w:rsid w:val="009F3B71"/>
    <w:rsid w:val="00A12CF1"/>
    <w:rsid w:val="00A137AC"/>
    <w:rsid w:val="00A14D67"/>
    <w:rsid w:val="00A155B6"/>
    <w:rsid w:val="00A15DFB"/>
    <w:rsid w:val="00A16522"/>
    <w:rsid w:val="00A22FCF"/>
    <w:rsid w:val="00A27D30"/>
    <w:rsid w:val="00A306FB"/>
    <w:rsid w:val="00A36807"/>
    <w:rsid w:val="00A36BE0"/>
    <w:rsid w:val="00A509B3"/>
    <w:rsid w:val="00A529AB"/>
    <w:rsid w:val="00A52BE2"/>
    <w:rsid w:val="00A5449C"/>
    <w:rsid w:val="00A5737A"/>
    <w:rsid w:val="00A64045"/>
    <w:rsid w:val="00A65C7E"/>
    <w:rsid w:val="00A720F1"/>
    <w:rsid w:val="00A74B1E"/>
    <w:rsid w:val="00A75D7C"/>
    <w:rsid w:val="00A76BB0"/>
    <w:rsid w:val="00A77985"/>
    <w:rsid w:val="00A80377"/>
    <w:rsid w:val="00A83041"/>
    <w:rsid w:val="00A83407"/>
    <w:rsid w:val="00A84202"/>
    <w:rsid w:val="00A84253"/>
    <w:rsid w:val="00A905E8"/>
    <w:rsid w:val="00A94A7E"/>
    <w:rsid w:val="00A9590D"/>
    <w:rsid w:val="00A95CC2"/>
    <w:rsid w:val="00A974E4"/>
    <w:rsid w:val="00AA298F"/>
    <w:rsid w:val="00AA5113"/>
    <w:rsid w:val="00AB3360"/>
    <w:rsid w:val="00AB48CB"/>
    <w:rsid w:val="00AC0181"/>
    <w:rsid w:val="00AC058C"/>
    <w:rsid w:val="00AC45E9"/>
    <w:rsid w:val="00AC6351"/>
    <w:rsid w:val="00AC6494"/>
    <w:rsid w:val="00AC7DEA"/>
    <w:rsid w:val="00AD361F"/>
    <w:rsid w:val="00AD4DF5"/>
    <w:rsid w:val="00AD6191"/>
    <w:rsid w:val="00AE015A"/>
    <w:rsid w:val="00AE4042"/>
    <w:rsid w:val="00AE5759"/>
    <w:rsid w:val="00AF3602"/>
    <w:rsid w:val="00B01B31"/>
    <w:rsid w:val="00B01D20"/>
    <w:rsid w:val="00B02C37"/>
    <w:rsid w:val="00B02FBC"/>
    <w:rsid w:val="00B0312D"/>
    <w:rsid w:val="00B05586"/>
    <w:rsid w:val="00B05851"/>
    <w:rsid w:val="00B05A4D"/>
    <w:rsid w:val="00B05E5A"/>
    <w:rsid w:val="00B10205"/>
    <w:rsid w:val="00B108AD"/>
    <w:rsid w:val="00B12B80"/>
    <w:rsid w:val="00B15C6D"/>
    <w:rsid w:val="00B20503"/>
    <w:rsid w:val="00B21F02"/>
    <w:rsid w:val="00B33B97"/>
    <w:rsid w:val="00B37EA4"/>
    <w:rsid w:val="00B40B1E"/>
    <w:rsid w:val="00B42FBC"/>
    <w:rsid w:val="00B54A4A"/>
    <w:rsid w:val="00B54FE0"/>
    <w:rsid w:val="00B5745D"/>
    <w:rsid w:val="00B60EDE"/>
    <w:rsid w:val="00B61DF6"/>
    <w:rsid w:val="00B627DC"/>
    <w:rsid w:val="00B70A01"/>
    <w:rsid w:val="00B728B5"/>
    <w:rsid w:val="00B82C5E"/>
    <w:rsid w:val="00B83568"/>
    <w:rsid w:val="00B86DF4"/>
    <w:rsid w:val="00B9151E"/>
    <w:rsid w:val="00B92441"/>
    <w:rsid w:val="00B932E9"/>
    <w:rsid w:val="00B9396B"/>
    <w:rsid w:val="00B95EBB"/>
    <w:rsid w:val="00B97F9E"/>
    <w:rsid w:val="00BA0DA1"/>
    <w:rsid w:val="00BA247F"/>
    <w:rsid w:val="00BA25E1"/>
    <w:rsid w:val="00BA2FBE"/>
    <w:rsid w:val="00BB031C"/>
    <w:rsid w:val="00BB0887"/>
    <w:rsid w:val="00BB435D"/>
    <w:rsid w:val="00BB4EBB"/>
    <w:rsid w:val="00BC24B3"/>
    <w:rsid w:val="00BC30B7"/>
    <w:rsid w:val="00BC6C67"/>
    <w:rsid w:val="00BC6F68"/>
    <w:rsid w:val="00BD19C2"/>
    <w:rsid w:val="00BD3E71"/>
    <w:rsid w:val="00BE00E3"/>
    <w:rsid w:val="00BE05A5"/>
    <w:rsid w:val="00BE184B"/>
    <w:rsid w:val="00BE21B4"/>
    <w:rsid w:val="00BE353E"/>
    <w:rsid w:val="00BE645C"/>
    <w:rsid w:val="00BF6721"/>
    <w:rsid w:val="00BF7FEF"/>
    <w:rsid w:val="00C04CB8"/>
    <w:rsid w:val="00C10876"/>
    <w:rsid w:val="00C115D3"/>
    <w:rsid w:val="00C14047"/>
    <w:rsid w:val="00C20BDB"/>
    <w:rsid w:val="00C23393"/>
    <w:rsid w:val="00C242B8"/>
    <w:rsid w:val="00C258B4"/>
    <w:rsid w:val="00C30BEE"/>
    <w:rsid w:val="00C35AB6"/>
    <w:rsid w:val="00C372D6"/>
    <w:rsid w:val="00C37D9C"/>
    <w:rsid w:val="00C40E81"/>
    <w:rsid w:val="00C426E6"/>
    <w:rsid w:val="00C50123"/>
    <w:rsid w:val="00C50214"/>
    <w:rsid w:val="00C5257F"/>
    <w:rsid w:val="00C53CA3"/>
    <w:rsid w:val="00C56E47"/>
    <w:rsid w:val="00C611BF"/>
    <w:rsid w:val="00C613AD"/>
    <w:rsid w:val="00C63857"/>
    <w:rsid w:val="00C7005D"/>
    <w:rsid w:val="00C70655"/>
    <w:rsid w:val="00C707F0"/>
    <w:rsid w:val="00C71E6C"/>
    <w:rsid w:val="00C77332"/>
    <w:rsid w:val="00C8054B"/>
    <w:rsid w:val="00C86BF4"/>
    <w:rsid w:val="00C87C87"/>
    <w:rsid w:val="00C918E2"/>
    <w:rsid w:val="00C9248C"/>
    <w:rsid w:val="00C944B2"/>
    <w:rsid w:val="00C95818"/>
    <w:rsid w:val="00C95E31"/>
    <w:rsid w:val="00CA2190"/>
    <w:rsid w:val="00CA4288"/>
    <w:rsid w:val="00CA516E"/>
    <w:rsid w:val="00CA7A49"/>
    <w:rsid w:val="00CB1D11"/>
    <w:rsid w:val="00CB1ED6"/>
    <w:rsid w:val="00CB3B65"/>
    <w:rsid w:val="00CC3312"/>
    <w:rsid w:val="00CC4367"/>
    <w:rsid w:val="00CC4C4D"/>
    <w:rsid w:val="00CC70CF"/>
    <w:rsid w:val="00CD2BBF"/>
    <w:rsid w:val="00CD6099"/>
    <w:rsid w:val="00CE4CC6"/>
    <w:rsid w:val="00CE62B5"/>
    <w:rsid w:val="00CE7A80"/>
    <w:rsid w:val="00CF4441"/>
    <w:rsid w:val="00CF71B5"/>
    <w:rsid w:val="00D025FC"/>
    <w:rsid w:val="00D06A0B"/>
    <w:rsid w:val="00D11041"/>
    <w:rsid w:val="00D11443"/>
    <w:rsid w:val="00D21661"/>
    <w:rsid w:val="00D255A7"/>
    <w:rsid w:val="00D2604D"/>
    <w:rsid w:val="00D26CB9"/>
    <w:rsid w:val="00D30C5C"/>
    <w:rsid w:val="00D30E93"/>
    <w:rsid w:val="00D33A86"/>
    <w:rsid w:val="00D34E14"/>
    <w:rsid w:val="00D3742A"/>
    <w:rsid w:val="00D37C4E"/>
    <w:rsid w:val="00D402FB"/>
    <w:rsid w:val="00D42224"/>
    <w:rsid w:val="00D427F8"/>
    <w:rsid w:val="00D4421D"/>
    <w:rsid w:val="00D44565"/>
    <w:rsid w:val="00D46C7E"/>
    <w:rsid w:val="00D471F8"/>
    <w:rsid w:val="00D51E03"/>
    <w:rsid w:val="00D53013"/>
    <w:rsid w:val="00D5344F"/>
    <w:rsid w:val="00D55CCD"/>
    <w:rsid w:val="00D5667A"/>
    <w:rsid w:val="00D636A1"/>
    <w:rsid w:val="00D64653"/>
    <w:rsid w:val="00D84D5D"/>
    <w:rsid w:val="00D85319"/>
    <w:rsid w:val="00D90854"/>
    <w:rsid w:val="00D95079"/>
    <w:rsid w:val="00DA0BA5"/>
    <w:rsid w:val="00DA1BE1"/>
    <w:rsid w:val="00DA4AC1"/>
    <w:rsid w:val="00DA74FB"/>
    <w:rsid w:val="00DB0CEF"/>
    <w:rsid w:val="00DB135B"/>
    <w:rsid w:val="00DB3A29"/>
    <w:rsid w:val="00DB3FD2"/>
    <w:rsid w:val="00DB6D09"/>
    <w:rsid w:val="00DC1683"/>
    <w:rsid w:val="00DC752C"/>
    <w:rsid w:val="00DC7791"/>
    <w:rsid w:val="00DD1406"/>
    <w:rsid w:val="00DD36D6"/>
    <w:rsid w:val="00DD3D80"/>
    <w:rsid w:val="00DD77C8"/>
    <w:rsid w:val="00DD7EAA"/>
    <w:rsid w:val="00DE13E4"/>
    <w:rsid w:val="00DE5C57"/>
    <w:rsid w:val="00DE5C7D"/>
    <w:rsid w:val="00DE62D1"/>
    <w:rsid w:val="00DE6425"/>
    <w:rsid w:val="00DE67F7"/>
    <w:rsid w:val="00DF168A"/>
    <w:rsid w:val="00DF1B4B"/>
    <w:rsid w:val="00DF34AB"/>
    <w:rsid w:val="00E00C31"/>
    <w:rsid w:val="00E03480"/>
    <w:rsid w:val="00E0532F"/>
    <w:rsid w:val="00E05353"/>
    <w:rsid w:val="00E05D47"/>
    <w:rsid w:val="00E06E46"/>
    <w:rsid w:val="00E10EAD"/>
    <w:rsid w:val="00E11229"/>
    <w:rsid w:val="00E13DDC"/>
    <w:rsid w:val="00E17439"/>
    <w:rsid w:val="00E23244"/>
    <w:rsid w:val="00E25AEF"/>
    <w:rsid w:val="00E26A12"/>
    <w:rsid w:val="00E275F9"/>
    <w:rsid w:val="00E27E50"/>
    <w:rsid w:val="00E30175"/>
    <w:rsid w:val="00E3387D"/>
    <w:rsid w:val="00E3556F"/>
    <w:rsid w:val="00E4082A"/>
    <w:rsid w:val="00E41044"/>
    <w:rsid w:val="00E4107D"/>
    <w:rsid w:val="00E50B28"/>
    <w:rsid w:val="00E51C7C"/>
    <w:rsid w:val="00E66FED"/>
    <w:rsid w:val="00E72F30"/>
    <w:rsid w:val="00E761FF"/>
    <w:rsid w:val="00E87859"/>
    <w:rsid w:val="00E90E6B"/>
    <w:rsid w:val="00E93EBC"/>
    <w:rsid w:val="00E960C5"/>
    <w:rsid w:val="00EA2F6F"/>
    <w:rsid w:val="00EB1055"/>
    <w:rsid w:val="00EB1651"/>
    <w:rsid w:val="00EB283E"/>
    <w:rsid w:val="00EB3F4D"/>
    <w:rsid w:val="00EB5508"/>
    <w:rsid w:val="00EC0CB0"/>
    <w:rsid w:val="00EC1980"/>
    <w:rsid w:val="00EC48A6"/>
    <w:rsid w:val="00EC4EA9"/>
    <w:rsid w:val="00EC5C16"/>
    <w:rsid w:val="00ED046B"/>
    <w:rsid w:val="00ED5136"/>
    <w:rsid w:val="00EE380E"/>
    <w:rsid w:val="00EE7790"/>
    <w:rsid w:val="00EF01F7"/>
    <w:rsid w:val="00EF22BD"/>
    <w:rsid w:val="00EF3F48"/>
    <w:rsid w:val="00EF68F1"/>
    <w:rsid w:val="00EF6F75"/>
    <w:rsid w:val="00F004B2"/>
    <w:rsid w:val="00F03EF7"/>
    <w:rsid w:val="00F063AD"/>
    <w:rsid w:val="00F07B9A"/>
    <w:rsid w:val="00F1052A"/>
    <w:rsid w:val="00F120EB"/>
    <w:rsid w:val="00F145F4"/>
    <w:rsid w:val="00F164B4"/>
    <w:rsid w:val="00F203CD"/>
    <w:rsid w:val="00F217D9"/>
    <w:rsid w:val="00F26149"/>
    <w:rsid w:val="00F345C6"/>
    <w:rsid w:val="00F36511"/>
    <w:rsid w:val="00F444A6"/>
    <w:rsid w:val="00F45BFC"/>
    <w:rsid w:val="00F507C7"/>
    <w:rsid w:val="00F522F2"/>
    <w:rsid w:val="00F542C3"/>
    <w:rsid w:val="00F559F9"/>
    <w:rsid w:val="00F55E22"/>
    <w:rsid w:val="00F61A62"/>
    <w:rsid w:val="00F6239A"/>
    <w:rsid w:val="00F64704"/>
    <w:rsid w:val="00F65C0C"/>
    <w:rsid w:val="00F66CF4"/>
    <w:rsid w:val="00F67A78"/>
    <w:rsid w:val="00F76C4A"/>
    <w:rsid w:val="00F82005"/>
    <w:rsid w:val="00F868CF"/>
    <w:rsid w:val="00F86E64"/>
    <w:rsid w:val="00F941C2"/>
    <w:rsid w:val="00F9798C"/>
    <w:rsid w:val="00FA146E"/>
    <w:rsid w:val="00FA1DC7"/>
    <w:rsid w:val="00FA5CE4"/>
    <w:rsid w:val="00FB0341"/>
    <w:rsid w:val="00FC28B4"/>
    <w:rsid w:val="00FC60D9"/>
    <w:rsid w:val="00FD08CE"/>
    <w:rsid w:val="00FD3255"/>
    <w:rsid w:val="00FD4242"/>
    <w:rsid w:val="00FF5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883FA"/>
  <w15:chartTrackingRefBased/>
  <w15:docId w15:val="{1233ABBC-7E00-4779-ADF7-0FF84E5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1"/>
    <w:pPr>
      <w:spacing w:after="200" w:line="276" w:lineRule="auto"/>
    </w:pPr>
    <w:rPr>
      <w:rFonts w:eastAsiaTheme="minorEastAsia"/>
      <w:lang w:eastAsia="es-MX"/>
    </w:rPr>
  </w:style>
  <w:style w:type="paragraph" w:styleId="Ttulo1">
    <w:name w:val="heading 1"/>
    <w:basedOn w:val="Normal"/>
    <w:next w:val="Normal"/>
    <w:link w:val="Ttulo1Car"/>
    <w:rsid w:val="009A54F1"/>
    <w:pPr>
      <w:keepNext/>
      <w:keepLines/>
      <w:spacing w:before="400" w:after="120"/>
      <w:outlineLvl w:val="0"/>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4F1"/>
    <w:rPr>
      <w:rFonts w:ascii="Arial" w:eastAsia="Arial" w:hAnsi="Arial" w:cs="Arial"/>
      <w:sz w:val="40"/>
      <w:szCs w:val="40"/>
      <w:lang w:eastAsia="es-MX"/>
    </w:rPr>
  </w:style>
  <w:style w:type="paragraph" w:styleId="Encabezado">
    <w:name w:val="header"/>
    <w:basedOn w:val="Normal"/>
    <w:link w:val="EncabezadoCar"/>
    <w:uiPriority w:val="99"/>
    <w:unhideWhenUsed/>
    <w:rsid w:val="009A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1"/>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9A54F1"/>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A54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9A54F1"/>
    <w:rPr>
      <w:b/>
      <w:bC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A54F1"/>
    <w:rPr>
      <w:rFonts w:eastAsiaTheme="minorEastAsia"/>
      <w:sz w:val="20"/>
      <w:szCs w:val="20"/>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A54F1"/>
    <w:pPr>
      <w:spacing w:after="0" w:line="240" w:lineRule="auto"/>
    </w:pPr>
    <w:rPr>
      <w:sz w:val="20"/>
      <w:szCs w:val="20"/>
    </w:rPr>
  </w:style>
  <w:style w:type="character" w:customStyle="1" w:styleId="TextonotapieCar1">
    <w:name w:val="Texto nota pie Car1"/>
    <w:basedOn w:val="Fuentedeprrafopredeter"/>
    <w:uiPriority w:val="99"/>
    <w:semiHidden/>
    <w:rsid w:val="009A54F1"/>
    <w:rPr>
      <w:rFonts w:eastAsiaTheme="minorEastAsia"/>
      <w:sz w:val="20"/>
      <w:szCs w:val="20"/>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9A54F1"/>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A54F1"/>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link w:val="4GChar"/>
    <w:uiPriority w:val="99"/>
    <w:unhideWhenUsed/>
    <w:qFormat/>
    <w:rsid w:val="009A54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54F1"/>
    <w:pPr>
      <w:spacing w:after="0" w:line="240" w:lineRule="auto"/>
      <w:jc w:val="both"/>
    </w:pPr>
    <w:rPr>
      <w:rFonts w:eastAsiaTheme="minorHAnsi"/>
      <w:vertAlign w:val="superscript"/>
      <w:lang w:eastAsia="en-US"/>
    </w:rPr>
  </w:style>
  <w:style w:type="character" w:styleId="Hipervnculo">
    <w:name w:val="Hyperlink"/>
    <w:basedOn w:val="Fuentedeprrafopredeter"/>
    <w:uiPriority w:val="99"/>
    <w:unhideWhenUsed/>
    <w:rsid w:val="009A54F1"/>
    <w:rPr>
      <w:color w:val="0000FF"/>
      <w:u w:val="single"/>
    </w:rPr>
  </w:style>
  <w:style w:type="paragraph" w:customStyle="1" w:styleId="Estilo">
    <w:name w:val="Estilo"/>
    <w:basedOn w:val="Sinespaciado"/>
    <w:link w:val="EstiloCar"/>
    <w:qFormat/>
    <w:rsid w:val="009A54F1"/>
    <w:pPr>
      <w:jc w:val="both"/>
    </w:pPr>
    <w:rPr>
      <w:rFonts w:ascii="Arial" w:eastAsiaTheme="minorHAnsi" w:hAnsi="Arial"/>
      <w:sz w:val="24"/>
      <w:lang w:eastAsia="en-US"/>
    </w:rPr>
  </w:style>
  <w:style w:type="character" w:customStyle="1" w:styleId="EstiloCar">
    <w:name w:val="Estilo Car"/>
    <w:basedOn w:val="Fuentedeprrafopredeter"/>
    <w:link w:val="Estilo"/>
    <w:rsid w:val="009A54F1"/>
    <w:rPr>
      <w:rFonts w:ascii="Arial" w:hAnsi="Arial"/>
      <w:sz w:val="24"/>
    </w:rPr>
  </w:style>
  <w:style w:type="paragraph" w:styleId="Sinespaciado">
    <w:name w:val="No Spacing"/>
    <w:link w:val="SinespaciadoCar"/>
    <w:uiPriority w:val="1"/>
    <w:qFormat/>
    <w:rsid w:val="009A54F1"/>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5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4F1"/>
    <w:rPr>
      <w:rFonts w:ascii="Segoe UI" w:eastAsiaTheme="minorEastAsia" w:hAnsi="Segoe UI" w:cs="Segoe UI"/>
      <w:sz w:val="18"/>
      <w:szCs w:val="18"/>
      <w:lang w:eastAsia="es-MX"/>
    </w:rPr>
  </w:style>
  <w:style w:type="character" w:customStyle="1" w:styleId="Mencinsinresolver1">
    <w:name w:val="Mención sin resolver1"/>
    <w:basedOn w:val="Fuentedeprrafopredeter"/>
    <w:uiPriority w:val="99"/>
    <w:semiHidden/>
    <w:unhideWhenUsed/>
    <w:rsid w:val="009A54F1"/>
    <w:rPr>
      <w:color w:val="605E5C"/>
      <w:shd w:val="clear" w:color="auto" w:fill="E1DFDD"/>
    </w:rPr>
  </w:style>
  <w:style w:type="character" w:styleId="Hipervnculovisitado">
    <w:name w:val="FollowedHyperlink"/>
    <w:basedOn w:val="Fuentedeprrafopredeter"/>
    <w:uiPriority w:val="99"/>
    <w:semiHidden/>
    <w:unhideWhenUsed/>
    <w:rsid w:val="009A54F1"/>
    <w:rPr>
      <w:color w:val="954F72" w:themeColor="followedHyperlink"/>
      <w:u w:val="single"/>
    </w:rPr>
  </w:style>
  <w:style w:type="paragraph" w:customStyle="1" w:styleId="Default">
    <w:name w:val="Default"/>
    <w:rsid w:val="009A54F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9A54F1"/>
    <w:rPr>
      <w:color w:val="605E5C"/>
      <w:shd w:val="clear" w:color="auto" w:fill="E1DFDD"/>
    </w:rPr>
  </w:style>
  <w:style w:type="character" w:customStyle="1" w:styleId="Mencinsinresolver3">
    <w:name w:val="Mención sin resolver3"/>
    <w:basedOn w:val="Fuentedeprrafopredeter"/>
    <w:uiPriority w:val="99"/>
    <w:semiHidden/>
    <w:unhideWhenUsed/>
    <w:rsid w:val="009A54F1"/>
    <w:rPr>
      <w:color w:val="605E5C"/>
      <w:shd w:val="clear" w:color="auto" w:fill="E1DFDD"/>
    </w:rPr>
  </w:style>
  <w:style w:type="paragraph" w:customStyle="1" w:styleId="Poromisin">
    <w:name w:val="Por omisión"/>
    <w:rsid w:val="009A54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MX"/>
    </w:rPr>
  </w:style>
  <w:style w:type="character" w:customStyle="1" w:styleId="Mencinsinresolver4">
    <w:name w:val="Mención sin resolver4"/>
    <w:basedOn w:val="Fuentedeprrafopredeter"/>
    <w:uiPriority w:val="99"/>
    <w:semiHidden/>
    <w:unhideWhenUsed/>
    <w:rsid w:val="009A54F1"/>
    <w:rPr>
      <w:color w:val="605E5C"/>
      <w:shd w:val="clear" w:color="auto" w:fill="E1DFDD"/>
    </w:rPr>
  </w:style>
  <w:style w:type="character" w:customStyle="1" w:styleId="Mencinsinresolver5">
    <w:name w:val="Mención sin resolver5"/>
    <w:basedOn w:val="Fuentedeprrafopredeter"/>
    <w:uiPriority w:val="99"/>
    <w:semiHidden/>
    <w:unhideWhenUsed/>
    <w:rsid w:val="009A54F1"/>
    <w:rPr>
      <w:color w:val="605E5C"/>
      <w:shd w:val="clear" w:color="auto" w:fill="E1DFDD"/>
    </w:rPr>
  </w:style>
  <w:style w:type="paragraph" w:customStyle="1" w:styleId="yiv7156991051msonormal">
    <w:name w:val="yiv7156991051msonormal"/>
    <w:basedOn w:val="Normal"/>
    <w:rsid w:val="009A54F1"/>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A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F1"/>
    <w:rPr>
      <w:rFonts w:eastAsiaTheme="minorEastAsia"/>
      <w:lang w:eastAsia="es-MX"/>
    </w:rPr>
  </w:style>
  <w:style w:type="table" w:styleId="Tablaconcuadrcula7concolores">
    <w:name w:val="Grid Table 7 Colorful"/>
    <w:basedOn w:val="Tablanormal"/>
    <w:uiPriority w:val="52"/>
    <w:rsid w:val="001703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CB1D11"/>
    <w:rPr>
      <w:color w:val="605E5C"/>
      <w:shd w:val="clear" w:color="auto" w:fill="E1DFDD"/>
    </w:rPr>
  </w:style>
  <w:style w:type="character" w:customStyle="1" w:styleId="bold">
    <w:name w:val="bold"/>
    <w:basedOn w:val="Fuentedeprrafopredeter"/>
    <w:rsid w:val="00480CFC"/>
  </w:style>
  <w:style w:type="character" w:customStyle="1" w:styleId="SinespaciadoCar">
    <w:name w:val="Sin espaciado Car"/>
    <w:link w:val="Sinespaciado"/>
    <w:uiPriority w:val="1"/>
    <w:rsid w:val="00920EBD"/>
    <w:rPr>
      <w:rFonts w:eastAsiaTheme="minorEastAsia"/>
      <w:lang w:eastAsia="es-MX"/>
    </w:rPr>
  </w:style>
  <w:style w:type="table" w:styleId="Tablaconcuadrcula1clara">
    <w:name w:val="Grid Table 1 Light"/>
    <w:basedOn w:val="Tablanormal"/>
    <w:uiPriority w:val="46"/>
    <w:rsid w:val="001267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50B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C67-878F-440E-8A57-A369DBF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2</cp:revision>
  <cp:lastPrinted>2021-05-11T20:54:00Z</cp:lastPrinted>
  <dcterms:created xsi:type="dcterms:W3CDTF">2021-05-11T22:43:00Z</dcterms:created>
  <dcterms:modified xsi:type="dcterms:W3CDTF">2021-05-11T22:43:00Z</dcterms:modified>
</cp:coreProperties>
</file>